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66260" w14:textId="3937F588" w:rsidR="00A50E94" w:rsidRPr="0032222F" w:rsidRDefault="00A50E94" w:rsidP="00A50E94">
      <w:pPr>
        <w:pStyle w:val="ICMEHeading1"/>
      </w:pPr>
      <w:bookmarkStart w:id="0" w:name="_GoBack"/>
      <w:bookmarkEnd w:id="0"/>
      <w:r w:rsidRPr="0032222F">
        <w:rPr>
          <w:lang w:val="en-US"/>
        </w:rPr>
        <w:t xml:space="preserve">Key Mathematical Concepts in the Transition from Secondary </w:t>
      </w:r>
      <w:r w:rsidR="001A4406">
        <w:rPr>
          <w:lang w:val="en-US"/>
        </w:rPr>
        <w:t xml:space="preserve">SCHOOL </w:t>
      </w:r>
      <w:r w:rsidRPr="0032222F">
        <w:rPr>
          <w:lang w:val="en-US"/>
        </w:rPr>
        <w:t>to University</w:t>
      </w:r>
      <w:r w:rsidR="001A4406">
        <w:rPr>
          <w:lang w:val="en-US"/>
        </w:rPr>
        <w:t xml:space="preserve"> </w:t>
      </w:r>
    </w:p>
    <w:p w14:paraId="4658F5BD" w14:textId="43819396" w:rsidR="00355B07" w:rsidRPr="00C864E3" w:rsidRDefault="00DD4054" w:rsidP="00A070BC">
      <w:pPr>
        <w:pStyle w:val="PMEAuthorInstitution"/>
        <w:rPr>
          <w:rFonts w:eastAsia="Malgun Gothic"/>
          <w:lang w:eastAsia="ko-KR"/>
        </w:rPr>
      </w:pPr>
      <w:r>
        <w:t xml:space="preserve">Mike Thomas, </w:t>
      </w:r>
      <w:r w:rsidR="00C453F0" w:rsidRPr="00456C43">
        <w:rPr>
          <w:color w:val="000000"/>
        </w:rPr>
        <w:t>Iole de Freitas Druck</w:t>
      </w:r>
      <w:r w:rsidR="00C453F0">
        <w:rPr>
          <w:color w:val="000000"/>
        </w:rPr>
        <w:t xml:space="preserve">, Danielle Huillet, </w:t>
      </w:r>
      <w:r w:rsidR="00C453F0" w:rsidRPr="00456C43">
        <w:rPr>
          <w:color w:val="000000"/>
        </w:rPr>
        <w:t>Mi</w:t>
      </w:r>
      <w:r w:rsidR="00A17039">
        <w:rPr>
          <w:color w:val="000000"/>
        </w:rPr>
        <w:t>-K</w:t>
      </w:r>
      <w:r w:rsidR="00C453F0" w:rsidRPr="00456C43">
        <w:rPr>
          <w:color w:val="000000"/>
        </w:rPr>
        <w:t>yung Ju</w:t>
      </w:r>
      <w:r w:rsidR="00C453F0">
        <w:t xml:space="preserve">, </w:t>
      </w:r>
      <w:r w:rsidR="001F5DCA">
        <w:br/>
      </w:r>
      <w:r w:rsidR="00C453F0">
        <w:t xml:space="preserve">Elena Nardi, Chris Rasmussen, </w:t>
      </w:r>
      <w:r w:rsidR="007025B4">
        <w:t xml:space="preserve">and </w:t>
      </w:r>
      <w:r w:rsidR="00C453F0" w:rsidRPr="00456C43">
        <w:rPr>
          <w:color w:val="000000"/>
        </w:rPr>
        <w:t>Jinxing Xie</w:t>
      </w:r>
    </w:p>
    <w:p w14:paraId="5DD81D9D" w14:textId="4A4999AA" w:rsidR="00355B07" w:rsidRPr="00C864E3" w:rsidRDefault="00875230" w:rsidP="001F5DCA">
      <w:pPr>
        <w:pStyle w:val="PMEAuthorInstitution"/>
        <w:rPr>
          <w:rFonts w:eastAsia="Malgun Gothic"/>
          <w:lang w:eastAsia="ko-KR"/>
        </w:rPr>
      </w:pPr>
      <w:r>
        <w:t xml:space="preserve">Auckland University, </w:t>
      </w:r>
      <w:r w:rsidR="001F5DCA">
        <w:t xml:space="preserve">University of Sao Paolo, </w:t>
      </w:r>
      <w:r w:rsidR="001F5DCA">
        <w:rPr>
          <w:rStyle w:val="st"/>
        </w:rPr>
        <w:t>Eduardo Mondlane University</w:t>
      </w:r>
      <w:r w:rsidR="001F5DCA">
        <w:t xml:space="preserve">, Hanyang University, </w:t>
      </w:r>
      <w:r>
        <w:t>University of East Anglia, San Diego Un</w:t>
      </w:r>
      <w:r w:rsidR="001F5DCA">
        <w:t>iversity, Tsinghua University</w:t>
      </w:r>
    </w:p>
    <w:p w14:paraId="3E58158E" w14:textId="15F865A0" w:rsidR="007518FE" w:rsidRPr="00BF1375" w:rsidRDefault="001F5DCA" w:rsidP="00CD79EB">
      <w:pPr>
        <w:pStyle w:val="PMEAuthorInstitution"/>
      </w:pPr>
      <w:r w:rsidRPr="00BF1375">
        <w:t>moj.thomas@auckland.ac.nz</w:t>
      </w:r>
      <w:r w:rsidR="00CD79EB" w:rsidRPr="00BF1375">
        <w:t>,</w:t>
      </w:r>
      <w:r w:rsidRPr="00BF1375">
        <w:t xml:space="preserve"> iole@ime.usp.br</w:t>
      </w:r>
      <w:r w:rsidR="00CD79EB" w:rsidRPr="00BF1375">
        <w:t>,</w:t>
      </w:r>
      <w:r w:rsidRPr="00BF1375">
        <w:t xml:space="preserve"> </w:t>
      </w:r>
      <w:hyperlink r:id="rId9" w:history="1">
        <w:r w:rsidR="00C453F0" w:rsidRPr="00BF1375">
          <w:rPr>
            <w:rStyle w:val="Hyperlink"/>
            <w:color w:val="auto"/>
            <w:u w:val="none"/>
          </w:rPr>
          <w:t>danielle.huillet@yahoo.fr</w:t>
        </w:r>
      </w:hyperlink>
      <w:r w:rsidR="00CD79EB" w:rsidRPr="00BF1375">
        <w:t xml:space="preserve">, </w:t>
      </w:r>
      <w:hyperlink r:id="rId10" w:history="1">
        <w:r w:rsidRPr="00BF1375">
          <w:rPr>
            <w:rStyle w:val="Hyperlink"/>
            <w:color w:val="auto"/>
            <w:u w:val="none"/>
          </w:rPr>
          <w:t>mkju11@hanyang.ac.kr</w:t>
        </w:r>
      </w:hyperlink>
      <w:r w:rsidR="00CD79EB" w:rsidRPr="00BF1375">
        <w:t>,</w:t>
      </w:r>
      <w:r w:rsidR="00C453F0" w:rsidRPr="00BF1375">
        <w:t xml:space="preserve"> </w:t>
      </w:r>
      <w:hyperlink r:id="rId11" w:history="1">
        <w:r w:rsidRPr="00BF1375">
          <w:rPr>
            <w:rStyle w:val="Hyperlink"/>
            <w:color w:val="auto"/>
            <w:u w:val="none"/>
          </w:rPr>
          <w:t>e.nardi@uea.ac.uk</w:t>
        </w:r>
      </w:hyperlink>
      <w:r w:rsidR="00CD79EB" w:rsidRPr="00BF1375">
        <w:t>,</w:t>
      </w:r>
      <w:r w:rsidR="00C453F0" w:rsidRPr="00BF1375">
        <w:t xml:space="preserve"> </w:t>
      </w:r>
      <w:hyperlink r:id="rId12" w:history="1">
        <w:r w:rsidR="00C453F0" w:rsidRPr="00BF1375">
          <w:rPr>
            <w:rStyle w:val="Hyperlink"/>
            <w:color w:val="auto"/>
            <w:u w:val="none"/>
          </w:rPr>
          <w:t>chrisraz@sciences.sdsu.edu</w:t>
        </w:r>
      </w:hyperlink>
      <w:r w:rsidR="00CD79EB" w:rsidRPr="00BF1375">
        <w:t>,</w:t>
      </w:r>
      <w:r w:rsidRPr="00BF1375">
        <w:t xml:space="preserve"> </w:t>
      </w:r>
      <w:hyperlink r:id="rId13" w:history="1">
        <w:r w:rsidRPr="00BF1375">
          <w:rPr>
            <w:rStyle w:val="Hyperlink"/>
            <w:color w:val="auto"/>
            <w:u w:val="none"/>
          </w:rPr>
          <w:t>jxie@math.tsinghua.edu.cn</w:t>
        </w:r>
      </w:hyperlink>
    </w:p>
    <w:p w14:paraId="50EAC96E" w14:textId="6F3ADDE5" w:rsidR="00231DDE" w:rsidRDefault="008D7370" w:rsidP="008F5C77">
      <w:pPr>
        <w:pStyle w:val="ICMEabstract"/>
      </w:pPr>
      <w:r>
        <w:t>This</w:t>
      </w:r>
      <w:r w:rsidR="00231DDE">
        <w:t xml:space="preserve"> report</w:t>
      </w:r>
      <w:r w:rsidR="00EB6B46">
        <w:rPr>
          <w:rStyle w:val="Refdenotaderodap"/>
        </w:rPr>
        <w:footnoteReference w:id="1"/>
      </w:r>
      <w:r w:rsidR="00231DDE">
        <w:t xml:space="preserve"> </w:t>
      </w:r>
      <w:r>
        <w:t xml:space="preserve">from the ICME12 Survey Team 4 </w:t>
      </w:r>
      <w:r w:rsidR="00231DDE">
        <w:t>examine</w:t>
      </w:r>
      <w:r>
        <w:t>s issues in</w:t>
      </w:r>
      <w:r w:rsidR="00231DDE">
        <w:t xml:space="preserve"> the transition from secondary school to university mathematics with a particular focus on mathematical concepts and aspects of mathematical thinking. </w:t>
      </w:r>
      <w:r>
        <w:t>It comprises a survey of</w:t>
      </w:r>
      <w:r w:rsidR="00231DDE">
        <w:t xml:space="preserve"> the recent </w:t>
      </w:r>
      <w:r w:rsidR="006C252D">
        <w:t xml:space="preserve">research </w:t>
      </w:r>
      <w:r>
        <w:t>related to</w:t>
      </w:r>
      <w:r w:rsidR="00231DDE">
        <w:t>: c</w:t>
      </w:r>
      <w:r w:rsidR="00231DDE" w:rsidRPr="00D21CF3">
        <w:t xml:space="preserve">alculus </w:t>
      </w:r>
      <w:r w:rsidR="00231DDE">
        <w:t>and analysis; the algebra of g</w:t>
      </w:r>
      <w:r w:rsidR="00231DDE" w:rsidRPr="00D21CF3">
        <w:t xml:space="preserve">eneralised arithmetic </w:t>
      </w:r>
      <w:r w:rsidR="00231DDE">
        <w:t xml:space="preserve">and </w:t>
      </w:r>
      <w:r w:rsidR="00231DDE" w:rsidRPr="00D21CF3">
        <w:t xml:space="preserve">abstract algebra; </w:t>
      </w:r>
      <w:r w:rsidR="00231DDE">
        <w:t>linear algebra; reasoning, argumentation</w:t>
      </w:r>
      <w:r w:rsidR="00231DDE" w:rsidRPr="00D21CF3">
        <w:t xml:space="preserve"> </w:t>
      </w:r>
      <w:r w:rsidR="00231DDE">
        <w:t xml:space="preserve">and proof; and </w:t>
      </w:r>
      <w:r w:rsidR="00231DDE">
        <w:rPr>
          <w:rFonts w:eastAsia="Times New Roman"/>
        </w:rPr>
        <w:t>modelling, applications</w:t>
      </w:r>
      <w:r w:rsidR="00231DDE" w:rsidRPr="00D21CF3">
        <w:rPr>
          <w:rFonts w:eastAsia="Times New Roman"/>
        </w:rPr>
        <w:t xml:space="preserve"> and applied mathematics</w:t>
      </w:r>
      <w:r w:rsidR="00231DDE">
        <w:t xml:space="preserve">. </w:t>
      </w:r>
      <w:r>
        <w:t>This</w:t>
      </w:r>
      <w:r w:rsidR="00231DDE">
        <w:t xml:space="preserve"> revealed a multi-faceted web of cognitive, cur</w:t>
      </w:r>
      <w:r>
        <w:t xml:space="preserve">ricular and pedagogical issues both within and </w:t>
      </w:r>
      <w:r w:rsidR="00231DDE">
        <w:t xml:space="preserve">across </w:t>
      </w:r>
      <w:r w:rsidR="004F7E21">
        <w:t xml:space="preserve">the </w:t>
      </w:r>
      <w:r w:rsidR="00231DDE">
        <w:t xml:space="preserve">mathematical topics </w:t>
      </w:r>
      <w:r>
        <w:t>above</w:t>
      </w:r>
      <w:r w:rsidR="00231DDE">
        <w:t xml:space="preserve">. In we </w:t>
      </w:r>
      <w:r w:rsidR="006C252D">
        <w:t>con</w:t>
      </w:r>
      <w:r>
        <w:t xml:space="preserve">ducted an international survey </w:t>
      </w:r>
      <w:r w:rsidR="00231DDE">
        <w:t xml:space="preserve">of those engaged </w:t>
      </w:r>
      <w:r>
        <w:t>in</w:t>
      </w:r>
      <w:r w:rsidR="00231DDE">
        <w:t xml:space="preserve"> teaching in university mathematics departments. Specifically, we aimed to elicit perspectives on: what topics are taught, and how, in the early parts of university-level mathematical studies; whether the transition should be smooth; student preparedness for university mathematics studies; and, what university departments do to assist those with limited preparedness. We present a summary of the survey results from 79 respondents from 21 countries.</w:t>
      </w:r>
    </w:p>
    <w:p w14:paraId="24E65F61" w14:textId="77777777" w:rsidR="00231DDE" w:rsidRDefault="00231DDE" w:rsidP="008F5C77">
      <w:pPr>
        <w:pStyle w:val="ICMEabstract"/>
      </w:pPr>
    </w:p>
    <w:p w14:paraId="7838AC56" w14:textId="2BB49807" w:rsidR="00FC5DE0" w:rsidRPr="005C3DE8" w:rsidRDefault="00231DDE" w:rsidP="008F5C77">
      <w:pPr>
        <w:pStyle w:val="ICMEabstract"/>
        <w:rPr>
          <w:lang w:eastAsia="ko-KR"/>
        </w:rPr>
      </w:pPr>
      <w:r>
        <w:t xml:space="preserve">Keywords: </w:t>
      </w:r>
      <w:r w:rsidR="006B3F4B">
        <w:t>Transition, mathematics, secondary, university</w:t>
      </w:r>
      <w:r w:rsidR="001D291D">
        <w:t>, survey</w:t>
      </w:r>
      <w:r w:rsidR="006B3F4B">
        <w:rPr>
          <w:rFonts w:hint="eastAsia"/>
          <w:lang w:eastAsia="ko-KR"/>
        </w:rPr>
        <w:t>.</w:t>
      </w:r>
    </w:p>
    <w:p w14:paraId="4467A005" w14:textId="77777777" w:rsidR="006B3F4B" w:rsidRPr="0074694D" w:rsidRDefault="006B3F4B" w:rsidP="006B3F4B">
      <w:pPr>
        <w:pStyle w:val="ICMEHeading2"/>
        <w:rPr>
          <w:lang w:val="en-US"/>
        </w:rPr>
      </w:pPr>
      <w:r>
        <w:rPr>
          <w:lang w:val="en-US"/>
        </w:rPr>
        <w:t>background</w:t>
      </w:r>
    </w:p>
    <w:p w14:paraId="7DFA1C42" w14:textId="1B0E6A2E" w:rsidR="002302DB" w:rsidRDefault="006B3F4B" w:rsidP="006B3F4B">
      <w:pPr>
        <w:pStyle w:val="ICMENormal"/>
      </w:pPr>
      <w:r w:rsidRPr="00136090">
        <w:t xml:space="preserve">Changing mathematics curricula and their emphases, </w:t>
      </w:r>
      <w:r w:rsidR="002302DB">
        <w:t>lower numbers</w:t>
      </w:r>
      <w:r w:rsidR="002302DB" w:rsidRPr="00136090">
        <w:t xml:space="preserve"> of student enrolments in undergraduate mathematics programmes (Barton &amp; Sheryn, 2009;</w:t>
      </w:r>
      <w:r w:rsidR="002302DB">
        <w:t xml:space="preserve"> and- </w:t>
      </w:r>
      <w:r w:rsidR="002302DB" w:rsidRPr="004D31A4">
        <w:t>http://www.mathunion.org/icmi/other-activities/pipeline-project/</w:t>
      </w:r>
      <w:r w:rsidR="002302DB" w:rsidRPr="00136090">
        <w:t xml:space="preserve">) </w:t>
      </w:r>
      <w:r w:rsidR="008754EA">
        <w:t>and</w:t>
      </w:r>
      <w:r w:rsidRPr="00136090">
        <w:t xml:space="preserve"> changes </w:t>
      </w:r>
      <w:r w:rsidR="008754EA">
        <w:t>due to</w:t>
      </w:r>
      <w:r w:rsidRPr="00136090">
        <w:t xml:space="preserve"> </w:t>
      </w:r>
      <w:r>
        <w:t>an</w:t>
      </w:r>
      <w:r w:rsidRPr="00136090">
        <w:t xml:space="preserve"> </w:t>
      </w:r>
      <w:r>
        <w:t xml:space="preserve">enlarged </w:t>
      </w:r>
      <w:r w:rsidRPr="00136090">
        <w:t xml:space="preserve">tertiary entrant profile </w:t>
      </w:r>
      <w:r>
        <w:t>(</w:t>
      </w:r>
      <w:r w:rsidRPr="00E94EF2">
        <w:t>Hoy</w:t>
      </w:r>
      <w:r>
        <w:t xml:space="preserve">les, Newman, &amp; Noss, </w:t>
      </w:r>
      <w:r w:rsidRPr="00E94EF2">
        <w:t>2001</w:t>
      </w:r>
      <w:r>
        <w:t>; Hockman, 2005</w:t>
      </w:r>
      <w:r w:rsidRPr="00E94EF2">
        <w:t>)</w:t>
      </w:r>
      <w:r w:rsidRPr="00136090">
        <w:t xml:space="preserve">, have provoked some international concern about the </w:t>
      </w:r>
      <w:r w:rsidR="004A0F6E">
        <w:t xml:space="preserve">mathematical </w:t>
      </w:r>
      <w:r w:rsidRPr="00136090">
        <w:t>ability of students entering university (PCAST, 2012; Smith, 2004)</w:t>
      </w:r>
      <w:r>
        <w:t xml:space="preserve"> and the </w:t>
      </w:r>
      <w:r w:rsidRPr="00136090">
        <w:t xml:space="preserve">traumatic </w:t>
      </w:r>
      <w:r>
        <w:t xml:space="preserve">effect of </w:t>
      </w:r>
      <w:r w:rsidRPr="00136090">
        <w:t xml:space="preserve">the transition </w:t>
      </w:r>
      <w:r>
        <w:t>on</w:t>
      </w:r>
      <w:r w:rsidRPr="00136090">
        <w:t xml:space="preserve"> </w:t>
      </w:r>
      <w:r w:rsidR="002302DB">
        <w:t>some of them</w:t>
      </w:r>
      <w:r w:rsidRPr="00136090">
        <w:t xml:space="preserve"> (Engelbrecht, 2010). </w:t>
      </w:r>
      <w:r w:rsidR="002302DB">
        <w:t>D</w:t>
      </w:r>
      <w:r w:rsidR="002302DB" w:rsidRPr="00136090">
        <w:t xml:space="preserve">ecreasing levels of </w:t>
      </w:r>
      <w:r w:rsidR="008754EA">
        <w:t xml:space="preserve">mathematical </w:t>
      </w:r>
      <w:r>
        <w:t>competency have</w:t>
      </w:r>
      <w:r w:rsidRPr="00136090">
        <w:t xml:space="preserve"> been </w:t>
      </w:r>
      <w:r w:rsidR="002302DB">
        <w:t>reported</w:t>
      </w:r>
      <w:r w:rsidRPr="00136090">
        <w:t xml:space="preserve"> with regard to essential technical facility, analytical powers, and perceptions of the place of precision and proof in mathematics (Gill, O’Donoghue, Faulkner &amp; Hannigan, 2010; Hourigan &amp; O’Donoghue, 2007; Kajander &amp; Lovric,</w:t>
      </w:r>
      <w:r w:rsidR="002302DB">
        <w:t xml:space="preserve"> 2005; Luk, 2005; Selden, 2005). </w:t>
      </w:r>
      <w:r w:rsidR="00B0624B">
        <w:t>The</w:t>
      </w:r>
      <w:r w:rsidR="002302DB" w:rsidRPr="00136090">
        <w:t xml:space="preserve"> shifting profile of students who take service mathematics courses </w:t>
      </w:r>
      <w:r w:rsidR="00F519C1">
        <w:t xml:space="preserve">has </w:t>
      </w:r>
      <w:r w:rsidR="00B0624B">
        <w:t>produced</w:t>
      </w:r>
      <w:r w:rsidR="002302DB" w:rsidRPr="00136090">
        <w:t xml:space="preserve"> a </w:t>
      </w:r>
      <w:r w:rsidR="002302DB">
        <w:t xml:space="preserve">consequent </w:t>
      </w:r>
      <w:r w:rsidR="002302DB" w:rsidRPr="00136090">
        <w:t>decli</w:t>
      </w:r>
      <w:r w:rsidR="002302DB">
        <w:t>ne in mathematical standard</w:t>
      </w:r>
      <w:r w:rsidR="00F519C1">
        <w:t>s</w:t>
      </w:r>
      <w:r w:rsidR="002302DB">
        <w:t xml:space="preserve"> (</w:t>
      </w:r>
      <w:r w:rsidR="002302DB" w:rsidRPr="00136090">
        <w:t>Gill, O’Donoghue, Faulkner &amp; Hannigan,</w:t>
      </w:r>
      <w:r w:rsidR="002302DB">
        <w:t xml:space="preserve"> </w:t>
      </w:r>
      <w:r w:rsidR="002302DB" w:rsidRPr="00136090">
        <w:t>2010</w:t>
      </w:r>
      <w:r w:rsidR="0081767A">
        <w:t>; Jennings, 2009</w:t>
      </w:r>
      <w:r w:rsidR="002302DB" w:rsidRPr="00136090">
        <w:t>)</w:t>
      </w:r>
      <w:r w:rsidR="00C546D9">
        <w:t xml:space="preserve">. </w:t>
      </w:r>
      <w:r>
        <w:t>However</w:t>
      </w:r>
      <w:r w:rsidR="002302DB">
        <w:t>,</w:t>
      </w:r>
      <w:r w:rsidRPr="00136090">
        <w:t xml:space="preserve"> not all studies agree on the extent of the problem (Engelbrecht &amp; Harding, </w:t>
      </w:r>
      <w:r w:rsidRPr="00136090">
        <w:lastRenderedPageBreak/>
        <w:t>2008</w:t>
      </w:r>
      <w:r w:rsidR="002302DB">
        <w:t xml:space="preserve">; </w:t>
      </w:r>
      <w:r w:rsidRPr="00826497">
        <w:t>Engelbrecht, Hardin</w:t>
      </w:r>
      <w:r>
        <w:t>g</w:t>
      </w:r>
      <w:r w:rsidRPr="00826497">
        <w:t xml:space="preserve"> &amp; Potgieter, 2005</w:t>
      </w:r>
      <w:r w:rsidR="002302DB">
        <w:t xml:space="preserve">) </w:t>
      </w:r>
      <w:r w:rsidR="00F519C1">
        <w:t>and</w:t>
      </w:r>
      <w:r w:rsidR="002302DB">
        <w:t xml:space="preserve"> </w:t>
      </w:r>
      <w:r w:rsidRPr="00136090">
        <w:t xml:space="preserve">James, Montelle and Williams (2008) </w:t>
      </w:r>
      <w:r w:rsidR="00F519C1">
        <w:t>found</w:t>
      </w:r>
      <w:r w:rsidRPr="00136090">
        <w:t xml:space="preserve"> that standards had been maintained. </w:t>
      </w:r>
    </w:p>
    <w:p w14:paraId="09F8B754" w14:textId="3AE8BC45" w:rsidR="006B3F4B" w:rsidRDefault="00723725" w:rsidP="006B3F4B">
      <w:pPr>
        <w:pStyle w:val="ICMENormal"/>
      </w:pPr>
      <w:r>
        <w:t>T</w:t>
      </w:r>
      <w:r w:rsidR="004A0F6E">
        <w:t xml:space="preserve">his situation </w:t>
      </w:r>
      <w:r>
        <w:t xml:space="preserve">has to be put </w:t>
      </w:r>
      <w:r w:rsidR="004A0F6E">
        <w:t>in the context of t</w:t>
      </w:r>
      <w:r w:rsidR="008754EA">
        <w:t>he</w:t>
      </w:r>
      <w:r w:rsidR="006B3F4B" w:rsidRPr="00136090">
        <w:t xml:space="preserve"> </w:t>
      </w:r>
      <w:r w:rsidR="006B3F4B" w:rsidRPr="00136090">
        <w:rPr>
          <w:lang w:eastAsia="ja-JP"/>
        </w:rPr>
        <w:t xml:space="preserve">report of the </w:t>
      </w:r>
      <w:r w:rsidR="006B3F4B" w:rsidRPr="00136090">
        <w:t>President’s Council of Advisors on Science and Technology (PCAST) (2012)</w:t>
      </w:r>
      <w:r>
        <w:t xml:space="preserve">. This </w:t>
      </w:r>
      <w:r w:rsidR="006B3F4B" w:rsidRPr="00136090">
        <w:t xml:space="preserve">states that in the USA alone there is a need to produce, over the next decade, around 1 million more college graduates in </w:t>
      </w:r>
      <w:r w:rsidR="006B3F4B" w:rsidRPr="00136090">
        <w:rPr>
          <w:bCs/>
        </w:rPr>
        <w:t>Science, Technology, Engineering, and Mathematics</w:t>
      </w:r>
      <w:r w:rsidR="006B3F4B" w:rsidRPr="00136090">
        <w:t xml:space="preserve"> (STEM) fields than </w:t>
      </w:r>
      <w:r w:rsidR="006B3F4B">
        <w:t xml:space="preserve">currently </w:t>
      </w:r>
      <w:r w:rsidR="008754EA">
        <w:t xml:space="preserve">expected and </w:t>
      </w:r>
      <w:r w:rsidR="006B3F4B" w:rsidRPr="00A85CC3">
        <w:t xml:space="preserve">recommends funding around 200 experiments at an average level of $500,000 </w:t>
      </w:r>
      <w:r w:rsidR="006B3F4B">
        <w:t xml:space="preserve">each </w:t>
      </w:r>
      <w:r w:rsidR="006B3F4B" w:rsidRPr="00A85CC3">
        <w:t>to address mathematics prepara</w:t>
      </w:r>
      <w:r w:rsidR="006B3F4B" w:rsidRPr="00A85CC3">
        <w:softHyphen/>
        <w:t>tion issues</w:t>
      </w:r>
      <w:r>
        <w:t>. This</w:t>
      </w:r>
      <w:r w:rsidR="00807336">
        <w:t xml:space="preserve"> </w:t>
      </w:r>
      <w:r w:rsidR="008754EA">
        <w:t xml:space="preserve">emphasises the importance of addressing </w:t>
      </w:r>
      <w:r w:rsidR="00C546D9">
        <w:t xml:space="preserve">these </w:t>
      </w:r>
      <w:r w:rsidR="008754EA">
        <w:t>transition issues.</w:t>
      </w:r>
    </w:p>
    <w:p w14:paraId="12E9E429" w14:textId="29A5C0F6" w:rsidR="006B3F4B" w:rsidRDefault="008754EA" w:rsidP="006B3F4B">
      <w:pPr>
        <w:pStyle w:val="ICMENormal"/>
      </w:pPr>
      <w:r>
        <w:t>The</w:t>
      </w:r>
      <w:r w:rsidR="006B3F4B">
        <w:t xml:space="preserve"> Survey Team 4 </w:t>
      </w:r>
      <w:r w:rsidR="00723725">
        <w:t xml:space="preserve">brief </w:t>
      </w:r>
      <w:r w:rsidR="006B3F4B">
        <w:t xml:space="preserve">was restricted to a consideration of </w:t>
      </w:r>
      <w:r w:rsidR="006B3F4B" w:rsidRPr="00D21CF3">
        <w:t xml:space="preserve">the </w:t>
      </w:r>
      <w:r w:rsidR="006B3F4B">
        <w:t xml:space="preserve">role of </w:t>
      </w:r>
      <w:r w:rsidR="006B3F4B" w:rsidRPr="00D21CF3">
        <w:t>mathe</w:t>
      </w:r>
      <w:r w:rsidR="006B3F4B">
        <w:t>matical thinking and concepts relate</w:t>
      </w:r>
      <w:r w:rsidR="009766E2">
        <w:t>d</w:t>
      </w:r>
      <w:r w:rsidR="006B3F4B">
        <w:t xml:space="preserve"> to</w:t>
      </w:r>
      <w:r w:rsidR="006B3F4B" w:rsidRPr="00D21CF3">
        <w:t xml:space="preserve"> transi</w:t>
      </w:r>
      <w:r w:rsidR="00723725">
        <w:t>tion and w</w:t>
      </w:r>
      <w:r w:rsidR="006B3F4B">
        <w:t xml:space="preserve">e found relatively few papers </w:t>
      </w:r>
      <w:r>
        <w:t xml:space="preserve">in the recent literature </w:t>
      </w:r>
      <w:r w:rsidR="006B3F4B">
        <w:t>deal</w:t>
      </w:r>
      <w:r w:rsidR="009766E2">
        <w:t>ing</w:t>
      </w:r>
      <w:r w:rsidR="006B3F4B">
        <w:t xml:space="preserve"> directly with </w:t>
      </w:r>
      <w:r w:rsidR="00723725">
        <w:t>this</w:t>
      </w:r>
      <w:r w:rsidR="006B3F4B">
        <w:t xml:space="preserve">. </w:t>
      </w:r>
      <w:r>
        <w:t>Hence we also</w:t>
      </w:r>
      <w:r w:rsidR="006B3F4B">
        <w:t xml:space="preserve"> review</w:t>
      </w:r>
      <w:r>
        <w:t>ed</w:t>
      </w:r>
      <w:r w:rsidR="006B3F4B">
        <w:t xml:space="preserve"> literature analysing the learning of mathematics </w:t>
      </w:r>
      <w:r>
        <w:t>on one or both sides</w:t>
      </w:r>
      <w:r w:rsidR="006B3F4B">
        <w:t xml:space="preserve"> of the transition boundary. To achieve this we formed the, somewhat arbitrary, division of this mathematics into: c</w:t>
      </w:r>
      <w:r w:rsidR="006B3F4B" w:rsidRPr="00D21CF3">
        <w:t xml:space="preserve">alculus </w:t>
      </w:r>
      <w:r w:rsidR="006B3F4B">
        <w:t>and analysis; the algebra of g</w:t>
      </w:r>
      <w:r w:rsidR="006B3F4B" w:rsidRPr="00D21CF3">
        <w:t xml:space="preserve">eneralised arithmetic </w:t>
      </w:r>
      <w:r w:rsidR="006B3F4B">
        <w:t xml:space="preserve">and </w:t>
      </w:r>
      <w:r w:rsidR="006B3F4B" w:rsidRPr="00D21CF3">
        <w:t xml:space="preserve">abstract algebra; </w:t>
      </w:r>
      <w:r w:rsidR="006B3F4B">
        <w:t>linear algebra; reasoning, argumentation</w:t>
      </w:r>
      <w:r w:rsidR="006B3F4B" w:rsidRPr="00D21CF3">
        <w:t xml:space="preserve"> </w:t>
      </w:r>
      <w:r w:rsidR="006B3F4B">
        <w:t xml:space="preserve">and proof; and </w:t>
      </w:r>
      <w:r w:rsidR="006B3F4B">
        <w:rPr>
          <w:rFonts w:eastAsia="Times New Roman"/>
        </w:rPr>
        <w:t>modelling, applications</w:t>
      </w:r>
      <w:r w:rsidR="006B3F4B" w:rsidRPr="00D21CF3">
        <w:rPr>
          <w:rFonts w:eastAsia="Times New Roman"/>
        </w:rPr>
        <w:t xml:space="preserve"> and applied mathematics</w:t>
      </w:r>
      <w:r w:rsidR="006B3F4B">
        <w:rPr>
          <w:rFonts w:eastAsia="Times New Roman"/>
        </w:rPr>
        <w:t xml:space="preserve">, and report findings related to each of these fields. </w:t>
      </w:r>
      <w:r w:rsidR="009766E2">
        <w:rPr>
          <w:rFonts w:eastAsia="Times New Roman"/>
        </w:rPr>
        <w:t>We we</w:t>
      </w:r>
      <w:r>
        <w:rPr>
          <w:rFonts w:eastAsia="Times New Roman"/>
        </w:rPr>
        <w:t xml:space="preserve">re aware that other fields such as geometry and statistics and probability </w:t>
      </w:r>
      <w:r w:rsidR="00723725">
        <w:rPr>
          <w:rFonts w:eastAsia="Times New Roman"/>
        </w:rPr>
        <w:t>probably should have</w:t>
      </w:r>
      <w:r>
        <w:rPr>
          <w:rFonts w:eastAsia="Times New Roman"/>
        </w:rPr>
        <w:t xml:space="preserve"> been included</w:t>
      </w:r>
      <w:r w:rsidR="00723725">
        <w:rPr>
          <w:rFonts w:eastAsia="Times New Roman"/>
        </w:rPr>
        <w:t>,</w:t>
      </w:r>
      <w:r>
        <w:rPr>
          <w:rFonts w:eastAsia="Times New Roman"/>
        </w:rPr>
        <w:t xml:space="preserve"> but </w:t>
      </w:r>
      <w:r w:rsidR="009766E2">
        <w:rPr>
          <w:rFonts w:eastAsia="Times New Roman"/>
        </w:rPr>
        <w:t>were</w:t>
      </w:r>
      <w:r>
        <w:rPr>
          <w:rFonts w:eastAsia="Times New Roman"/>
        </w:rPr>
        <w:t xml:space="preserve"> not</w:t>
      </w:r>
      <w:r w:rsidR="009766E2">
        <w:rPr>
          <w:rFonts w:eastAsia="Times New Roman"/>
        </w:rPr>
        <w:t xml:space="preserve"> able to do so</w:t>
      </w:r>
      <w:r>
        <w:rPr>
          <w:rFonts w:eastAsia="Times New Roman"/>
        </w:rPr>
        <w:t>.</w:t>
      </w:r>
      <w:r w:rsidR="006B3F4B">
        <w:t xml:space="preserve"> </w:t>
      </w:r>
    </w:p>
    <w:p w14:paraId="31E2A57A" w14:textId="31C15BE2" w:rsidR="006B3F4B" w:rsidRDefault="006B3F4B" w:rsidP="006B3F4B">
      <w:pPr>
        <w:pStyle w:val="ICMEHeading2"/>
      </w:pPr>
      <w:r>
        <w:t xml:space="preserve">The </w:t>
      </w:r>
      <w:r w:rsidR="00F67594">
        <w:t xml:space="preserve">SURVEY </w:t>
      </w:r>
    </w:p>
    <w:p w14:paraId="4BF26420" w14:textId="540EE5A9" w:rsidR="00F67594" w:rsidRPr="000B42EB" w:rsidRDefault="00430B78" w:rsidP="006B3F4B">
      <w:pPr>
        <w:pStyle w:val="ICMENormal"/>
        <w:rPr>
          <w:rFonts w:eastAsia="Malgun Gothic"/>
        </w:rPr>
      </w:pPr>
      <w:r>
        <w:t>We considered it</w:t>
      </w:r>
      <w:r w:rsidR="00807336">
        <w:t xml:space="preserve"> important to obtain data on transition from u</w:t>
      </w:r>
      <w:r>
        <w:t>niversity mathematics departments</w:t>
      </w:r>
      <w:r w:rsidR="00807336">
        <w:t xml:space="preserve">. We wanted to know what topics are taught and how, if the </w:t>
      </w:r>
      <w:r>
        <w:t>faculty</w:t>
      </w:r>
      <w:r w:rsidR="00807336">
        <w:t xml:space="preserve"> think the transition should be smooth, or not, their opinions on whether their students are well prepared mathematically, and what university departments do to assist those who are not. </w:t>
      </w:r>
      <w:r w:rsidR="000B42EB">
        <w:rPr>
          <w:rFonts w:eastAsia="Malgun Gothic"/>
        </w:rPr>
        <w:t xml:space="preserve">Hence, we </w:t>
      </w:r>
      <w:r w:rsidR="00AD6736">
        <w:t>constructed a</w:t>
      </w:r>
      <w:r w:rsidR="001C1F9C">
        <w:t>n anonymous</w:t>
      </w:r>
      <w:r w:rsidR="00AD6736">
        <w:t xml:space="preserve"> questionnaire on transition </w:t>
      </w:r>
      <w:r w:rsidR="001C1F9C">
        <w:t xml:space="preserve">using an Adobe Acrobat pdf form </w:t>
      </w:r>
      <w:r w:rsidR="00AD6736">
        <w:t xml:space="preserve">and sent </w:t>
      </w:r>
      <w:r w:rsidR="00F67594">
        <w:t>it</w:t>
      </w:r>
      <w:r w:rsidR="00AD6736">
        <w:t xml:space="preserve"> </w:t>
      </w:r>
      <w:r w:rsidR="00FF6E42">
        <w:t xml:space="preserve">internationally </w:t>
      </w:r>
      <w:r w:rsidR="00AD6736">
        <w:t>by email to members of mathematics departments</w:t>
      </w:r>
      <w:r w:rsidR="00F67594">
        <w:t>. The</w:t>
      </w:r>
      <w:r w:rsidR="007E7FAE">
        <w:t xml:space="preserve"> </w:t>
      </w:r>
      <w:r w:rsidR="00F67594">
        <w:t>79</w:t>
      </w:r>
      <w:r w:rsidR="001C1F9C">
        <w:t xml:space="preserve"> responses </w:t>
      </w:r>
      <w:r w:rsidR="00F67594">
        <w:t>from</w:t>
      </w:r>
      <w:r w:rsidR="00F67594" w:rsidRPr="00D658E7">
        <w:t xml:space="preserve"> </w:t>
      </w:r>
      <w:r w:rsidR="00F67594">
        <w:t xml:space="preserve">21 </w:t>
      </w:r>
      <w:r w:rsidR="00F67594" w:rsidRPr="00D658E7">
        <w:t>countries</w:t>
      </w:r>
      <w:r w:rsidR="00F67594">
        <w:t xml:space="preserve"> were </w:t>
      </w:r>
      <w:r w:rsidR="00FF6E42">
        <w:t xml:space="preserve">collected electronically. </w:t>
      </w:r>
      <w:r w:rsidR="00F67594">
        <w:t>The sample comprised 56 males and 23 females with a mean of 21.9 years of academic teaching. Of these 45 were at the level of associate professor, reader or full professor, and 30 were assistant professors, lecturers or senior lecturers. There were 5 or more responses from each of South Africa, USA, New Zealand and Brazil.</w:t>
      </w:r>
    </w:p>
    <w:p w14:paraId="5EF31614" w14:textId="292CAA6D" w:rsidR="006B3F4B" w:rsidRPr="00983E9E" w:rsidRDefault="006B3F4B" w:rsidP="006B3F4B">
      <w:pPr>
        <w:pStyle w:val="ICMENormal"/>
      </w:pPr>
      <w:r w:rsidRPr="00983E9E">
        <w:t>Clearly the experienc</w:t>
      </w:r>
      <w:r>
        <w:t>e for beginning university stud</w:t>
      </w:r>
      <w:r w:rsidRPr="00983E9E">
        <w:t>e</w:t>
      </w:r>
      <w:r>
        <w:t>n</w:t>
      </w:r>
      <w:r w:rsidRPr="00983E9E">
        <w:t>ts varies considerably depending on the country and the university that they attend. For example, while the majority teach</w:t>
      </w:r>
      <w:r w:rsidR="00783B5B">
        <w:t>es</w:t>
      </w:r>
      <w:r w:rsidRPr="00983E9E">
        <w:t xml:space="preserve"> pre-calculus (53, 67.1%), calculus (76, 96.2%) and linear algebra (49, 62%) in their first year, minorities </w:t>
      </w:r>
      <w:r w:rsidR="00F060E7">
        <w:t>teach</w:t>
      </w:r>
      <w:r w:rsidRPr="00983E9E">
        <w:t xml:space="preserve"> complex analysis (1), topology (3), group theory (1), real analysis (5), number theory (9), graph theory (12), logic (15), set theory (17) and geometry (18), among other topics. Further, in response to ‘</w:t>
      </w:r>
      <w:proofErr w:type="gramStart"/>
      <w:r w:rsidRPr="00983E9E">
        <w:t>Is</w:t>
      </w:r>
      <w:proofErr w:type="gramEnd"/>
      <w:r w:rsidRPr="00983E9E">
        <w:t xml:space="preserve"> the approach in </w:t>
      </w:r>
      <w:r w:rsidRPr="00983E9E">
        <w:rPr>
          <w:b/>
          <w:bCs/>
        </w:rPr>
        <w:t xml:space="preserve">first </w:t>
      </w:r>
      <w:r w:rsidRPr="00983E9E">
        <w:t xml:space="preserve">year mathematics at your university: Symbolic, </w:t>
      </w:r>
      <w:r>
        <w:t>P</w:t>
      </w:r>
      <w:r w:rsidRPr="00983E9E">
        <w:t xml:space="preserve">rocedural; Axiomatic, </w:t>
      </w:r>
      <w:r>
        <w:t>F</w:t>
      </w:r>
      <w:r w:rsidRPr="00983E9E">
        <w:t>ormal; Either, depending on the course.’ 21 (26.6%) answered that their departments introduce symbolic and procedural approaches in first year mathematics courses, while 6 replied that their departments adapt axiomatic formal approaches. Most of the respondents (50, 63.3%) replied that their approach depended on the course.</w:t>
      </w:r>
    </w:p>
    <w:p w14:paraId="2EA2F886" w14:textId="3B146335" w:rsidR="006B3F4B" w:rsidRDefault="006B3F4B" w:rsidP="006B3F4B">
      <w:pPr>
        <w:pStyle w:val="ICMENormal"/>
      </w:pPr>
      <w:r w:rsidRPr="00D658E7">
        <w:lastRenderedPageBreak/>
        <w:t xml:space="preserve">When asked </w:t>
      </w:r>
      <w:r>
        <w:t>‘</w:t>
      </w:r>
      <w:r w:rsidRPr="00D658E7">
        <w:t>Do you think students have any problems in moving from school to university mathematics?</w:t>
      </w:r>
      <w:r>
        <w:t>’</w:t>
      </w:r>
      <w:r w:rsidRPr="00D658E7">
        <w:t xml:space="preserve"> 72 (91.1%) responded “Yes” and 6 responded “No”.</w:t>
      </w:r>
      <w:r>
        <w:t xml:space="preserve"> One third</w:t>
      </w:r>
      <w:r w:rsidRPr="00D658E7">
        <w:t xml:space="preserve"> of those who answered “Yes” described these problems as coming from a lack of preparation in high school, supported by comments such as “They don't have a sufficiently good grasp of the expected school-mathematics skills that they need.” Further, </w:t>
      </w:r>
      <w:r>
        <w:t>two thirds</w:t>
      </w:r>
      <w:r w:rsidRPr="00D658E7">
        <w:t xml:space="preserve"> of those who answered “Yes” described th</w:t>
      </w:r>
      <w:r>
        <w:t>e</w:t>
      </w:r>
      <w:r w:rsidRPr="00D658E7">
        <w:t xml:space="preserve"> problems as </w:t>
      </w:r>
      <w:r>
        <w:t>arising</w:t>
      </w:r>
      <w:r w:rsidRPr="00D658E7">
        <w:t xml:space="preserve"> from the differences between high school classes and university</w:t>
      </w:r>
      <w:r>
        <w:t xml:space="preserve"> (including more than 50% of the respondents from </w:t>
      </w:r>
      <w:r w:rsidR="0092693C">
        <w:t xml:space="preserve">those sending </w:t>
      </w:r>
      <w:r>
        <w:t>at least 5 responses)</w:t>
      </w:r>
      <w:r w:rsidRPr="00D658E7">
        <w:t>, such as differences in class size and work load, with many specifically citing the conceptual nature of university mathematics as being different from the procedural nature of high school mathematics. Comments here included “university is much more theoretical” and “Move from procedural to formal and rigourous [sic], introduction to proof, importance of definiti</w:t>
      </w:r>
      <w:r>
        <w:t>ons and conditions of theorems/rules/statements/</w:t>
      </w:r>
      <w:r w:rsidRPr="00D658E7">
        <w:t>formulas.”</w:t>
      </w:r>
      <w:r>
        <w:t xml:space="preserve"> </w:t>
      </w:r>
      <w:r w:rsidR="0092693C">
        <w:t xml:space="preserve">There is also a need to “…deal with misconceptions which students developed in secondary school…We also have to review secondary school concepts and procedures from an adequate mathematical point of view.”  </w:t>
      </w:r>
      <w:r>
        <w:t>Other responses cited: students’ weak algebra skills (12.5%); that university classes are harder (5%); personal difficulties in adjusting (10%); poor placement (3%); and, poor teaching at university (1%).</w:t>
      </w:r>
    </w:p>
    <w:p w14:paraId="3D24FECD" w14:textId="1FE94315" w:rsidR="006B3F4B" w:rsidRDefault="006B3F4B" w:rsidP="006B3F4B">
      <w:pPr>
        <w:pStyle w:val="ICMENormal"/>
      </w:pPr>
      <w:r>
        <w:t xml:space="preserve">Looking at specific mathematical knowledge, we </w:t>
      </w:r>
      <w:r w:rsidR="00A14FB1">
        <w:t>enquired</w:t>
      </w:r>
      <w:r>
        <w:t xml:space="preserve"> ‘How would you rate first year students’ mathematical understanding of each of the following on entry to university?’ With a maximum score of 5 for high, the mean scores of the responses were algebra or generalised arithmetic (3.0), functions (2.8), real numbers (2.7), </w:t>
      </w:r>
      <w:r w:rsidR="009A5393">
        <w:t xml:space="preserve">differentiation (2.5), </w:t>
      </w:r>
      <w:r>
        <w:t xml:space="preserve">complex numbers (1.9), </w:t>
      </w:r>
      <w:r w:rsidR="009A5393">
        <w:t xml:space="preserve">definitions (1.9), vectors (1.9), sequences and series (1.9), </w:t>
      </w:r>
      <w:r>
        <w:t xml:space="preserve">Riemann integration (1.8), matrix algebra (1.7), </w:t>
      </w:r>
      <w:r w:rsidR="009A5393">
        <w:t xml:space="preserve">limits (1.7) and </w:t>
      </w:r>
      <w:r>
        <w:t>proof (1.6)</w:t>
      </w:r>
      <w:r w:rsidR="009A5393">
        <w:t>.</w:t>
      </w:r>
      <w:r>
        <w:t xml:space="preserve"> </w:t>
      </w:r>
      <w:r w:rsidR="0055586D">
        <w:t xml:space="preserve">The mathematicians were specifically asked whether students were well prepared for calculus study. Those whose students did not study calculus at school rated their students’ preparation for calculus at 2.1 out of 5. </w:t>
      </w:r>
      <w:proofErr w:type="gramStart"/>
      <w:r w:rsidR="0055586D">
        <w:t>Those</w:t>
      </w:r>
      <w:proofErr w:type="gramEnd"/>
      <w:r w:rsidR="0055586D">
        <w:t xml:space="preserve"> whose students did, rated secondary school calculus as preparation to study calculus at university at 2.4, and as preparation to study analysis at university at 1.5. These results suggest that there is some room for improvement in school preparation for university study of calculus and analysis.</w:t>
      </w:r>
    </w:p>
    <w:p w14:paraId="68065D3A" w14:textId="5AAE85C4" w:rsidR="00A14FB1" w:rsidRPr="00731C3C" w:rsidRDefault="0055586D" w:rsidP="006B3F4B">
      <w:pPr>
        <w:pStyle w:val="ICMENormal"/>
      </w:pPr>
      <w:r>
        <w:t xml:space="preserve">Taken all together, these </w:t>
      </w:r>
      <w:r w:rsidR="00A14FB1">
        <w:t>responses indicate that university academics do perceive both some inadequacies in students’ knowledge and difficulties in transition.</w:t>
      </w:r>
    </w:p>
    <w:p w14:paraId="4F4FDB4F" w14:textId="5B14801F" w:rsidR="006B3F4B" w:rsidRPr="004A1481" w:rsidRDefault="006B3F4B" w:rsidP="006B3F4B">
      <w:pPr>
        <w:pStyle w:val="PMENormal"/>
        <w:rPr>
          <w:sz w:val="24"/>
          <w:szCs w:val="24"/>
        </w:rPr>
      </w:pPr>
      <w:r w:rsidRPr="00A32392">
        <w:t xml:space="preserve">Since there has been some literature </w:t>
      </w:r>
      <w:r>
        <w:t xml:space="preserve">(e,g., </w:t>
      </w:r>
      <w:r w:rsidRPr="004D0EE8">
        <w:t>Clark &amp; Lovric, 2009)</w:t>
      </w:r>
      <w:r>
        <w:rPr>
          <w:sz w:val="24"/>
          <w:szCs w:val="24"/>
        </w:rPr>
        <w:t xml:space="preserve"> </w:t>
      </w:r>
      <w:r w:rsidRPr="00A32392">
        <w:t>indicating that, rather than being ‘smooth’, the transition to university should require some measure of struggle by students, we asked ‘Do you think the transition from secondary to university education in mathematics should be smooth?’ Here, 54 (68.4%) responded “Yes” and 22</w:t>
      </w:r>
      <w:r w:rsidR="00C87283">
        <w:t xml:space="preserve"> (27.8%)</w:t>
      </w:r>
      <w:r w:rsidRPr="00A32392">
        <w:t xml:space="preserve"> responded “No”. Of those who responded “No”, many of the comments were similar to the following, expressing the belief that </w:t>
      </w:r>
      <w:r w:rsidR="0052079E">
        <w:t>change</w:t>
      </w:r>
      <w:r w:rsidRPr="00A32392">
        <w:t xml:space="preserve"> is a necessary </w:t>
      </w:r>
      <w:r w:rsidR="0052079E">
        <w:t xml:space="preserve">part of the </w:t>
      </w:r>
      <w:r w:rsidRPr="00A32392">
        <w:t>transition: “</w:t>
      </w:r>
      <w:r w:rsidRPr="00A32392">
        <w:rPr>
          <w:rFonts w:eastAsia="Times New Roman"/>
          <w:color w:val="000000"/>
        </w:rPr>
        <w:t xml:space="preserve">Not necessarily smooth, because it is for most students a huge change to become more independent as learners.” </w:t>
      </w:r>
      <w:r w:rsidR="00245D13">
        <w:rPr>
          <w:rFonts w:eastAsia="Times New Roman"/>
          <w:color w:val="000000"/>
        </w:rPr>
        <w:t xml:space="preserve">and “To learn mathematics is sometimes hard.” </w:t>
      </w:r>
      <w:r w:rsidRPr="00A32392">
        <w:rPr>
          <w:rFonts w:eastAsia="Times New Roman"/>
          <w:color w:val="000000"/>
        </w:rPr>
        <w:t>Those who answered yes were then asked ‘</w:t>
      </w:r>
      <w:r w:rsidRPr="00A32392">
        <w:t>what could be done to make the transition from secondary to university education in mathematics smoother?’ The majority of response</w:t>
      </w:r>
      <w:r>
        <w:t>s mentioned changes that could b</w:t>
      </w:r>
      <w:r w:rsidRPr="00A32392">
        <w:t xml:space="preserve">e made at the high school level, such as: </w:t>
      </w:r>
      <w:r>
        <w:t>e</w:t>
      </w:r>
      <w:r w:rsidRPr="00A32392">
        <w:t xml:space="preserve">ncourage students to think </w:t>
      </w:r>
      <w:r w:rsidRPr="00A32392">
        <w:lastRenderedPageBreak/>
        <w:t>independently and abstractly; change the secondary courses; have better trained secondary teachers; and</w:t>
      </w:r>
      <w:r>
        <w:t>,</w:t>
      </w:r>
      <w:r w:rsidRPr="00A32392">
        <w:t xml:space="preserve"> have less focus in secondary school on standardised tests and procedures.</w:t>
      </w:r>
      <w:r>
        <w:t xml:space="preserve"> A few mentioned changes that could be made at the university, such as: better placement of students in classes; increasing the communication between secondary and tertiary teachers; and, addressing student expectations at each level. This lack of communication between the two sectors was also highlighted as a major area requiring attention by the two</w:t>
      </w:r>
      <w:r w:rsidR="008D7058">
        <w:t>-</w:t>
      </w:r>
      <w:r>
        <w:t xml:space="preserve">year study led by Thomas </w:t>
      </w:r>
      <w:r w:rsidRPr="002F1850">
        <w:t xml:space="preserve">(Hong, Kerr, Klymchuk, McHardy, Murphy, Spencer, </w:t>
      </w:r>
      <w:r>
        <w:t xml:space="preserve">&amp; Thomas, </w:t>
      </w:r>
      <w:r w:rsidRPr="002F1850">
        <w:t>2009).</w:t>
      </w:r>
    </w:p>
    <w:p w14:paraId="459D4190" w14:textId="22B795DD" w:rsidR="006B3F4B" w:rsidRDefault="006B3F4B" w:rsidP="006B3F4B">
      <w:pPr>
        <w:pStyle w:val="ICMENormal"/>
      </w:pPr>
      <w:r w:rsidRPr="00A41DE7">
        <w:t>Since one would expect that, seeing students with difficulties</w:t>
      </w:r>
      <w:r w:rsidR="00245D13">
        <w:t xml:space="preserve"> in transition</w:t>
      </w:r>
      <w:r>
        <w:t>,</w:t>
      </w:r>
      <w:r w:rsidRPr="00A41DE7">
        <w:t xml:space="preserve"> universities might respond in </w:t>
      </w:r>
      <w:r w:rsidR="00245D13">
        <w:t>an</w:t>
      </w:r>
      <w:r w:rsidRPr="00A41DE7">
        <w:t xml:space="preserve"> appropriate manner, we asked ‘Does your department periodically change the typical content of your first year programme?’ 3</w:t>
      </w:r>
      <w:r w:rsidR="00B159A1">
        <w:t>3</w:t>
      </w:r>
      <w:r w:rsidRPr="00A41DE7">
        <w:t xml:space="preserve"> (4</w:t>
      </w:r>
      <w:r w:rsidR="00B159A1">
        <w:t>1</w:t>
      </w:r>
      <w:r w:rsidRPr="00A41DE7">
        <w:t>.</w:t>
      </w:r>
      <w:r w:rsidR="00B159A1">
        <w:t>8</w:t>
      </w:r>
      <w:r w:rsidRPr="00A41DE7">
        <w:t xml:space="preserve">%) </w:t>
      </w:r>
      <w:r w:rsidRPr="00A41DE7">
        <w:rPr>
          <w:rFonts w:hint="eastAsia"/>
        </w:rPr>
        <w:t xml:space="preserve">responded </w:t>
      </w:r>
      <w:r w:rsidRPr="00A41DE7">
        <w:t>“</w:t>
      </w:r>
      <w:r w:rsidRPr="00A41DE7">
        <w:rPr>
          <w:rFonts w:hint="eastAsia"/>
        </w:rPr>
        <w:t>Yes</w:t>
      </w:r>
      <w:r w:rsidRPr="00A41DE7">
        <w:t>”</w:t>
      </w:r>
      <w:r w:rsidRPr="00A41DE7">
        <w:rPr>
          <w:rFonts w:hint="eastAsia"/>
        </w:rPr>
        <w:t xml:space="preserve"> and 4</w:t>
      </w:r>
      <w:r w:rsidR="00B159A1">
        <w:t>4</w:t>
      </w:r>
      <w:r w:rsidRPr="00A41DE7">
        <w:rPr>
          <w:rFonts w:hint="eastAsia"/>
        </w:rPr>
        <w:t xml:space="preserve"> </w:t>
      </w:r>
      <w:r w:rsidR="00B159A1">
        <w:t>(55.7</w:t>
      </w:r>
      <w:r w:rsidR="00C87283">
        <w:t xml:space="preserve">%) </w:t>
      </w:r>
      <w:r w:rsidRPr="00A41DE7">
        <w:rPr>
          <w:rFonts w:hint="eastAsia"/>
        </w:rPr>
        <w:t xml:space="preserve">responded </w:t>
      </w:r>
      <w:r w:rsidRPr="00A41DE7">
        <w:t>“</w:t>
      </w:r>
      <w:r w:rsidRPr="00A41DE7">
        <w:rPr>
          <w:rFonts w:hint="eastAsia"/>
        </w:rPr>
        <w:t>No</w:t>
      </w:r>
      <w:r w:rsidRPr="00A41DE7">
        <w:t>”</w:t>
      </w:r>
      <w:r w:rsidRPr="00A41DE7">
        <w:rPr>
          <w:rFonts w:hint="eastAsia"/>
        </w:rPr>
        <w:t>.</w:t>
      </w:r>
      <w:r w:rsidRPr="00A41DE7">
        <w:t xml:space="preserve"> The responses to the question ‘How does your department decide on appropriate content for the first year mathematics programme for students?’ by those who answered yes to the previous question showed that departments change the content of the first year programme based on the decision </w:t>
      </w:r>
      <w:r w:rsidRPr="00A41DE7">
        <w:rPr>
          <w:rFonts w:hint="eastAsia"/>
        </w:rPr>
        <w:t>of</w:t>
      </w:r>
      <w:r w:rsidRPr="00A41DE7">
        <w:t xml:space="preserve"> committees either on university level or on depar</w:t>
      </w:r>
      <w:r w:rsidRPr="00A41DE7">
        <w:rPr>
          <w:rFonts w:hint="eastAsia"/>
        </w:rPr>
        <w:t>t</w:t>
      </w:r>
      <w:r w:rsidRPr="00A41DE7">
        <w:t xml:space="preserve">ment level. </w:t>
      </w:r>
      <w:r w:rsidRPr="00A41DE7">
        <w:rPr>
          <w:rFonts w:hint="eastAsia"/>
        </w:rPr>
        <w:t xml:space="preserve">Some respondents said that they change the course based on </w:t>
      </w:r>
      <w:r w:rsidRPr="00A41DE7">
        <w:t>a decision by an individual member of faculty</w:t>
      </w:r>
      <w:r w:rsidRPr="00A41DE7">
        <w:rPr>
          <w:rFonts w:hint="eastAsia"/>
        </w:rPr>
        <w:t xml:space="preserve"> who</w:t>
      </w:r>
      <w:r w:rsidRPr="00A41DE7">
        <w:t xml:space="preserve"> diagnoses students’ need and background to change the course content for the </w:t>
      </w:r>
      <w:r>
        <w:t>first year students</w:t>
      </w:r>
      <w:r w:rsidRPr="00A41DE7">
        <w:t>. 15 of the 35 responded that their universities try to integrate student, industry, and national needs into first year mathematics courses. The follow-up question ‘How has the content of your first year mathematics courses changed in the last 5 years?’ showed that 35 had changed their courses in the last 5 years, but 10 of these said that the change was not significant. 17 out of the 35 respondents reported that their departments changed the first year mathematics courses by removing complex topics, or by introducing practical mathematical topics. In some of the courses, students were encouraged to use tools for calculation and visualisation. However</w:t>
      </w:r>
      <w:r>
        <w:t xml:space="preserve">, </w:t>
      </w:r>
      <w:r w:rsidRPr="00A41DE7">
        <w:t xml:space="preserve">there were </w:t>
      </w:r>
      <w:r>
        <w:t xml:space="preserve">also </w:t>
      </w:r>
      <w:r w:rsidRPr="00A41DE7">
        <w:t>6 departments that increased the complexity and the rigour of their first year mathematics courses.</w:t>
      </w:r>
    </w:p>
    <w:p w14:paraId="026657F8" w14:textId="2471084F" w:rsidR="00685DB6" w:rsidRDefault="00685DB6" w:rsidP="00D44AD6">
      <w:pPr>
        <w:pStyle w:val="ICMENormal"/>
      </w:pPr>
      <w:r>
        <w:t>The</w:t>
      </w:r>
      <w:r w:rsidRPr="00B46D47">
        <w:t xml:space="preserve"> survey considered </w:t>
      </w:r>
      <w:r>
        <w:t xml:space="preserve">the notion of </w:t>
      </w:r>
      <w:r w:rsidRPr="00B46D47">
        <w:t xml:space="preserve">proof in several questions. In response to ‘How important do you think definitions are in </w:t>
      </w:r>
      <w:r w:rsidRPr="00B46D47">
        <w:rPr>
          <w:b/>
          <w:bCs/>
        </w:rPr>
        <w:t xml:space="preserve">first </w:t>
      </w:r>
      <w:r w:rsidRPr="00B46D47">
        <w:t xml:space="preserve">year mathematics?’ 52 (65.8%) replied that definitions are important in first year mathematics, while </w:t>
      </w:r>
      <w:r>
        <w:t>1</w:t>
      </w:r>
      <w:r w:rsidRPr="00B46D47">
        <w:t xml:space="preserve">5 presented their responses as neutral. Only 8 respondents replied that definitions are not important in first year mathematics. Responses to the question ‘Do you have a course that explicitly teaches methods of proof construction?’ were evenly split with 49.4% answering </w:t>
      </w:r>
      <w:r>
        <w:t xml:space="preserve">each of </w:t>
      </w:r>
      <w:r w:rsidRPr="00B46D47">
        <w:t>“Yes”</w:t>
      </w:r>
      <w:r>
        <w:t xml:space="preserve"> and</w:t>
      </w:r>
      <w:r w:rsidRPr="00B46D47">
        <w:t xml:space="preserve"> “No”. Of those who responded “Yes”, 15 (38.4%) replied that they teach methods of proof construction during the first year, 23 (58.9%) during the second year and 5 (12.8%) in either </w:t>
      </w:r>
      <w:r>
        <w:t>third</w:t>
      </w:r>
      <w:r w:rsidRPr="00B46D47">
        <w:t xml:space="preserve"> or </w:t>
      </w:r>
      <w:r>
        <w:t>fourth</w:t>
      </w:r>
      <w:r w:rsidRPr="00B46D47">
        <w:t xml:space="preserve"> year. While some had separate courses (e.g. proof method and logic course) for teaching methods of proofs, many departments </w:t>
      </w:r>
      <w:r>
        <w:t xml:space="preserve">teach methods of proofs traditionally, </w:t>
      </w:r>
      <w:r w:rsidRPr="00B46D47">
        <w:t>by introducing examples of proof and exercises in mathematics class. Some respondents replied that they teach methods of proof constr</w:t>
      </w:r>
      <w:r>
        <w:t>uction in interactive contexts, citing</w:t>
      </w:r>
      <w:r w:rsidRPr="00B46D47">
        <w:t xml:space="preserve"> </w:t>
      </w:r>
      <w:r>
        <w:t>having</w:t>
      </w:r>
      <w:r w:rsidRPr="00B46D47">
        <w:t xml:space="preserve"> the course taught as a seminar, with students constructing proofs, presenting them to the class, and discussing/critiquing them in small size class. One respondent used the modified Moore method in interactive lecture. Looking at some specific methods of introducing students to proof construction was the question ‘How useful do you think that a course that includes assistance with the following would be for students?’ Four possibilities were listed, with mean levels of agreement out of 5 (high) being: Learning how to read a proof, 3.7; Working </w:t>
      </w:r>
      <w:r w:rsidRPr="00B46D47">
        <w:lastRenderedPageBreak/>
        <w:t xml:space="preserve">on counterexamples, 3.8; Building conjectures, 3.7; Constructing definitions, 3.6. These </w:t>
      </w:r>
      <w:r>
        <w:t xml:space="preserve">responses </w:t>
      </w:r>
      <w:r w:rsidRPr="00B46D47">
        <w:t>appear to show a good level of agreement wi</w:t>
      </w:r>
      <w:r>
        <w:t>th employing the suggested approaches as components of a course on proof construction.</w:t>
      </w:r>
      <w:r w:rsidR="00A8064E">
        <w:t xml:space="preserve"> It may be that these are ideas that the 49.4% of universities that currently do not have a course explicitly teaching proof construction could consider implementing</w:t>
      </w:r>
      <w:r w:rsidR="004D7EE0">
        <w:t xml:space="preserve"> as a way to assist transition</w:t>
      </w:r>
      <w:r w:rsidR="00A8064E">
        <w:t xml:space="preserve">. </w:t>
      </w:r>
    </w:p>
    <w:p w14:paraId="0F1FA7D8" w14:textId="2A46E1CD" w:rsidR="0042057E" w:rsidRDefault="0052079E" w:rsidP="0042057E">
      <w:pPr>
        <w:pStyle w:val="ICMENormal"/>
        <w:rPr>
          <w:sz w:val="22"/>
        </w:rPr>
      </w:pPr>
      <w:r>
        <w:t>M</w:t>
      </w:r>
      <w:r w:rsidR="0042057E">
        <w:t>athematical modelling in universities</w:t>
      </w:r>
      <w:r>
        <w:t xml:space="preserve"> was another topic </w:t>
      </w:r>
      <w:r w:rsidR="000E5563">
        <w:t>our</w:t>
      </w:r>
      <w:r>
        <w:t xml:space="preserve"> survey addressed</w:t>
      </w:r>
      <w:r w:rsidR="0042057E">
        <w:t>. In response to the questions “</w:t>
      </w:r>
      <w:r w:rsidR="0042057E" w:rsidRPr="006834DA">
        <w:t xml:space="preserve">Does your university have a mathematical course/activity dedicated to </w:t>
      </w:r>
      <w:r w:rsidR="0042057E" w:rsidRPr="003B23D9">
        <w:t>mathematical modeling and applications?</w:t>
      </w:r>
      <w:r w:rsidR="0042057E">
        <w:t>”</w:t>
      </w:r>
      <w:r w:rsidR="000E5563">
        <w:t xml:space="preserve"> and</w:t>
      </w:r>
      <w:r w:rsidR="0042057E" w:rsidRPr="003B23D9">
        <w:t xml:space="preserve"> </w:t>
      </w:r>
      <w:r w:rsidR="0042057E">
        <w:t>“A</w:t>
      </w:r>
      <w:r w:rsidR="0042057E" w:rsidRPr="003B23D9">
        <w:t>re mathematical modelling and applications contents/activities integrated into other mathematical courses?</w:t>
      </w:r>
      <w:r w:rsidR="0042057E">
        <w:t>”</w:t>
      </w:r>
      <w:r w:rsidR="0042057E" w:rsidRPr="003B23D9">
        <w:t>, 44 replied</w:t>
      </w:r>
      <w:r w:rsidR="0042057E" w:rsidRPr="003B23D9">
        <w:rPr>
          <w:rFonts w:hint="eastAsia"/>
        </w:rPr>
        <w:t xml:space="preserve"> that their departments offer</w:t>
      </w:r>
      <w:r w:rsidR="0042057E" w:rsidRPr="003B23D9">
        <w:t xml:space="preserve"> dedicated course</w:t>
      </w:r>
      <w:r w:rsidR="0042057E" w:rsidRPr="003B23D9">
        <w:rPr>
          <w:rFonts w:hint="eastAsia"/>
        </w:rPr>
        <w:t>s for modelling</w:t>
      </w:r>
      <w:r w:rsidR="0042057E" w:rsidRPr="003B23D9">
        <w:t>,</w:t>
      </w:r>
      <w:r w:rsidR="0042057E">
        <w:t xml:space="preserve"> </w:t>
      </w:r>
      <w:r w:rsidR="0042057E" w:rsidRPr="003B23D9">
        <w:t>while 41 said they</w:t>
      </w:r>
      <w:r w:rsidR="0042057E" w:rsidRPr="003B23D9">
        <w:rPr>
          <w:rFonts w:hint="eastAsia"/>
        </w:rPr>
        <w:t xml:space="preserve"> </w:t>
      </w:r>
      <w:r w:rsidR="0042057E" w:rsidRPr="003B23D9">
        <w:t>integrate</w:t>
      </w:r>
      <w:r w:rsidR="0042057E" w:rsidRPr="003B23D9">
        <w:rPr>
          <w:rFonts w:hint="eastAsia"/>
        </w:rPr>
        <w:t xml:space="preserve"> teaching of </w:t>
      </w:r>
      <w:r w:rsidR="0042057E" w:rsidRPr="003B23D9">
        <w:t>modelling</w:t>
      </w:r>
      <w:r w:rsidR="0042057E" w:rsidRPr="003B23D9">
        <w:rPr>
          <w:rFonts w:hint="eastAsia"/>
        </w:rPr>
        <w:t xml:space="preserve"> into mathematics</w:t>
      </w:r>
      <w:r w:rsidR="0042057E" w:rsidRPr="003B23D9">
        <w:t xml:space="preserve"> courses</w:t>
      </w:r>
      <w:r w:rsidR="0042057E" w:rsidRPr="003B23D9">
        <w:rPr>
          <w:rFonts w:hint="eastAsia"/>
        </w:rPr>
        <w:t xml:space="preserve"> such</w:t>
      </w:r>
      <w:r w:rsidR="0042057E">
        <w:rPr>
          <w:rFonts w:hint="eastAsia"/>
        </w:rPr>
        <w:t xml:space="preserve"> as calculus, differential equa</w:t>
      </w:r>
      <w:r w:rsidR="0042057E" w:rsidRPr="003B23D9">
        <w:rPr>
          <w:rFonts w:hint="eastAsia"/>
        </w:rPr>
        <w:t>t</w:t>
      </w:r>
      <w:r w:rsidR="0042057E">
        <w:t>i</w:t>
      </w:r>
      <w:r w:rsidR="0042057E" w:rsidRPr="003B23D9">
        <w:rPr>
          <w:rFonts w:hint="eastAsia"/>
        </w:rPr>
        <w:t>ons, statistics, etc</w:t>
      </w:r>
      <w:r w:rsidR="0042057E" w:rsidRPr="003B23D9">
        <w:t xml:space="preserve"> and 7 answered that their university does not offer mathematics courses for mathematical modelling and applications. Among the reasons given for choosing dedicated courses were that: the majority of all math</w:t>
      </w:r>
      <w:r w:rsidR="0042057E" w:rsidRPr="003B23D9">
        <w:rPr>
          <w:rFonts w:hint="eastAsia"/>
        </w:rPr>
        <w:t>ematics</w:t>
      </w:r>
      <w:r w:rsidR="0042057E" w:rsidRPr="003B23D9">
        <w:t xml:space="preserve"> students will end up doing something other than </w:t>
      </w:r>
      <w:r w:rsidR="0042057E" w:rsidRPr="003B23D9">
        <w:rPr>
          <w:rFonts w:hint="eastAsia"/>
        </w:rPr>
        <w:t>mathematics</w:t>
      </w:r>
      <w:r w:rsidR="0042057E" w:rsidRPr="003B23D9">
        <w:t xml:space="preserve"> so applications are far more important to them than are detailed theoretical developments; most of the mathematics teaching is service teaching for non-majoring students so </w:t>
      </w:r>
      <w:r w:rsidR="0042057E" w:rsidRPr="003B23D9">
        <w:rPr>
          <w:rFonts w:hint="eastAsia"/>
        </w:rPr>
        <w:t>it is</w:t>
      </w:r>
      <w:r w:rsidR="0042057E" w:rsidRPr="003B23D9">
        <w:t xml:space="preserve"> appropriate </w:t>
      </w:r>
      <w:r w:rsidR="0042057E" w:rsidRPr="003B23D9">
        <w:rPr>
          <w:rFonts w:hint="eastAsia"/>
        </w:rPr>
        <w:t xml:space="preserve">to provide a course of </w:t>
      </w:r>
      <w:r w:rsidR="0042057E" w:rsidRPr="003B23D9">
        <w:t xml:space="preserve">modelling and applications </w:t>
      </w:r>
      <w:r w:rsidR="0042057E" w:rsidRPr="003B23D9">
        <w:rPr>
          <w:rFonts w:hint="eastAsia"/>
        </w:rPr>
        <w:t xml:space="preserve">that is relevant to the needs of </w:t>
      </w:r>
      <w:r w:rsidR="0042057E" w:rsidRPr="003B23D9">
        <w:t>the target audience; and if modelling is treated as an add-on then students do not learn the methods of mathematical modeling. Those who chose integrated courses did so because: for modeling, students need to be equipped with a wide array of mathematical techniques and solid knowledge base. Hence it is appropriate for earlier level mathematics courses to contain some theory, proofs, concepts and skills, as well as applications.</w:t>
      </w:r>
    </w:p>
    <w:p w14:paraId="489219B7" w14:textId="47306ABE" w:rsidR="000B1D63" w:rsidRPr="004712CD" w:rsidRDefault="000B1D63" w:rsidP="000B1D63">
      <w:pPr>
        <w:pStyle w:val="ICMENormal"/>
        <w:rPr>
          <w:lang w:eastAsia="zh-CN"/>
        </w:rPr>
      </w:pPr>
      <w:r w:rsidRPr="00886B1E">
        <w:t xml:space="preserve">Considering what happens in upper secondary schools, 26 (33%) reported that </w:t>
      </w:r>
      <w:r w:rsidRPr="00886B1E">
        <w:rPr>
          <w:rFonts w:hint="eastAsia"/>
        </w:rPr>
        <w:t xml:space="preserve">secondary schools in </w:t>
      </w:r>
      <w:r w:rsidRPr="00886B1E">
        <w:t xml:space="preserve">their </w:t>
      </w:r>
      <w:r w:rsidRPr="00886B1E">
        <w:rPr>
          <w:rFonts w:hint="eastAsia"/>
        </w:rPr>
        <w:t xml:space="preserve">location have mathematical modelling and applications </w:t>
      </w:r>
      <w:r w:rsidRPr="00886B1E">
        <w:t>integrated</w:t>
      </w:r>
      <w:r w:rsidRPr="00886B1E">
        <w:rPr>
          <w:rFonts w:hint="eastAsia"/>
        </w:rPr>
        <w:t xml:space="preserve"> into </w:t>
      </w:r>
      <w:r w:rsidRPr="00886B1E">
        <w:t>other</w:t>
      </w:r>
      <w:r w:rsidRPr="00886B1E">
        <w:rPr>
          <w:rFonts w:hint="eastAsia"/>
        </w:rPr>
        <w:t xml:space="preserve"> mathematical courses, with only 4 having dedica</w:t>
      </w:r>
      <w:r w:rsidRPr="00886B1E">
        <w:t>t</w:t>
      </w:r>
      <w:r w:rsidRPr="00886B1E">
        <w:rPr>
          <w:rFonts w:hint="eastAsia"/>
        </w:rPr>
        <w:t>ed course</w:t>
      </w:r>
      <w:r w:rsidRPr="00886B1E">
        <w:t>s</w:t>
      </w:r>
      <w:r w:rsidRPr="00886B1E">
        <w:rPr>
          <w:rFonts w:hint="eastAsia"/>
        </w:rPr>
        <w:t>.</w:t>
      </w:r>
      <w:r w:rsidRPr="00886B1E">
        <w:t xml:space="preserve"> 44 (56%) said that there were no such modelling courses in their area. When asked for their opinion on how modelling should be taught in schools, most of the answers stated that it should be integrated into other mathematical courses. The main reasons presented for this were: the many facets of mathematics; topics too specialised to form dedicated courses; to allow cross flow of ideas, avoid compartmentalization; and students need to see the connection between theory and practice, build meaning, appropriate knowledge. The question ‘What do you see as the key differences between the teaching and learning of modelling and </w:t>
      </w:r>
      <w:r w:rsidRPr="00886B1E">
        <w:rPr>
          <w:rFonts w:hint="eastAsia"/>
          <w:lang w:eastAsia="zh-CN"/>
        </w:rPr>
        <w:t>applications</w:t>
      </w:r>
      <w:r w:rsidRPr="00886B1E">
        <w:t xml:space="preserve"> in secondary schools and university</w:t>
      </w:r>
      <w:r w:rsidRPr="00886B1E">
        <w:rPr>
          <w:rFonts w:hint="eastAsia"/>
          <w:lang w:eastAsia="zh-CN"/>
        </w:rPr>
        <w:t>, if any</w:t>
      </w:r>
      <w:r w:rsidRPr="00886B1E">
        <w:t xml:space="preserve">?’ was answered by </w:t>
      </w:r>
      <w:r>
        <w:t>33 (42</w:t>
      </w:r>
      <w:r w:rsidRPr="00886B1E">
        <w:t xml:space="preserve">%) of respondents. </w:t>
      </w:r>
      <w:r w:rsidRPr="00886B1E">
        <w:rPr>
          <w:rFonts w:cs="Tahoma"/>
        </w:rPr>
        <w:t>The key differences pointed out by those answering this question were: at school, modelling is poor, too basic and mechanical, often close implementation of simple statistics tests; students have less understanding of application areas; university students are more independent; they have bigger range of mathematical tools, more techniques; they are concerned with rigour and proof. Asked ‘</w:t>
      </w:r>
      <w:r w:rsidRPr="00886B1E">
        <w:t>What are the key difficulties for student transition f</w:t>
      </w:r>
      <w:r w:rsidRPr="00886B1E">
        <w:rPr>
          <w:rFonts w:hint="eastAsia"/>
          <w:lang w:eastAsia="zh-CN"/>
        </w:rPr>
        <w:t>ro</w:t>
      </w:r>
      <w:r w:rsidRPr="00886B1E">
        <w:t>m secondary school to university in the field of math</w:t>
      </w:r>
      <w:r w:rsidRPr="00886B1E">
        <w:rPr>
          <w:rFonts w:hint="eastAsia"/>
          <w:lang w:eastAsia="zh-CN"/>
        </w:rPr>
        <w:t>ematical</w:t>
      </w:r>
      <w:r w:rsidRPr="00886B1E">
        <w:t xml:space="preserve"> modelling and ap</w:t>
      </w:r>
      <w:r w:rsidRPr="00886B1E">
        <w:rPr>
          <w:rFonts w:hint="eastAsia"/>
          <w:lang w:eastAsia="zh-CN"/>
        </w:rPr>
        <w:t>p</w:t>
      </w:r>
      <w:r w:rsidRPr="00886B1E">
        <w:t>lications</w:t>
      </w:r>
      <w:r w:rsidRPr="00886B1E">
        <w:rPr>
          <w:rFonts w:hint="eastAsia"/>
          <w:lang w:eastAsia="zh-CN"/>
        </w:rPr>
        <w:t>, if any</w:t>
      </w:r>
      <w:r w:rsidRPr="00886B1E">
        <w:t xml:space="preserve">?’ the </w:t>
      </w:r>
      <w:r>
        <w:t xml:space="preserve">35 (44%) </w:t>
      </w:r>
      <w:r w:rsidRPr="00886B1E">
        <w:t xml:space="preserve">university respondents cited: lack of knowledge (mathematical theory, others subjects such as physics, chemistry, biology, ecology); difficulties in formulating precise mathematical problems/interpreting word problems/understanding processes, representations, use of parameters; poor mathematical skills, lack of logical thinking; no experience from secondary </w:t>
      </w:r>
      <w:r w:rsidRPr="00886B1E">
        <w:lastRenderedPageBreak/>
        <w:t>schools</w:t>
      </w:r>
      <w:r>
        <w:t>;</w:t>
      </w:r>
      <w:r w:rsidRPr="00886B1E">
        <w:t xml:space="preserve"> </w:t>
      </w:r>
      <w:r>
        <w:t xml:space="preserve">and </w:t>
      </w:r>
      <w:r w:rsidRPr="00886B1E">
        <w:t xml:space="preserve">lack of support. </w:t>
      </w:r>
      <w:r w:rsidR="000E5563">
        <w:t>One message for transition is to construct more realistic modeling applications for students to study in schools.</w:t>
      </w:r>
    </w:p>
    <w:p w14:paraId="599AFE72" w14:textId="4F3BA269" w:rsidR="00984246" w:rsidRDefault="000B1D63" w:rsidP="006B3F4B">
      <w:pPr>
        <w:pStyle w:val="ICMENormal"/>
      </w:pPr>
      <w:r>
        <w:t xml:space="preserve">In order to </w:t>
      </w:r>
      <w:r w:rsidR="00405FCA">
        <w:t>investigate</w:t>
      </w:r>
      <w:r>
        <w:t xml:space="preserve"> how universities respond to assist students with transition problems </w:t>
      </w:r>
      <w:r w:rsidR="00405FCA">
        <w:t>we</w:t>
      </w:r>
      <w:r w:rsidRPr="00202561">
        <w:t xml:space="preserve"> </w:t>
      </w:r>
      <w:r w:rsidR="003D7205">
        <w:t>enquired</w:t>
      </w:r>
      <w:r w:rsidRPr="00202561">
        <w:t xml:space="preserve"> “Do you have any academic support structures to assist students in the transition from school to university?</w:t>
      </w:r>
      <w:r>
        <w:t xml:space="preserve"> </w:t>
      </w:r>
      <w:proofErr w:type="gramStart"/>
      <w:r w:rsidRPr="007D4D36">
        <w:t>(e.g., workshops, bridging courses, mentoring, etc).</w:t>
      </w:r>
      <w:r w:rsidRPr="00202561">
        <w:t xml:space="preserve">”, and </w:t>
      </w:r>
      <w:r>
        <w:t>56 (</w:t>
      </w:r>
      <w:r w:rsidRPr="00202561">
        <w:t>71%</w:t>
      </w:r>
      <w:r>
        <w:t>) replied ‘Y</w:t>
      </w:r>
      <w:r w:rsidRPr="00202561">
        <w:t>es’</w:t>
      </w:r>
      <w:r>
        <w:t xml:space="preserve"> and 22 ‘No’</w:t>
      </w:r>
      <w:r w:rsidRPr="00202561">
        <w:t>.</w:t>
      </w:r>
      <w:proofErr w:type="gramEnd"/>
      <w:r w:rsidRPr="00202561">
        <w:t xml:space="preserve"> </w:t>
      </w:r>
      <w:r>
        <w:t>Of tho</w:t>
      </w:r>
      <w:r w:rsidRPr="00202561">
        <w:t xml:space="preserve">se </w:t>
      </w:r>
      <w:r>
        <w:t xml:space="preserve">saying yes, </w:t>
      </w:r>
      <w:r w:rsidRPr="00202561">
        <w:t xml:space="preserve">34% have a bridging course, 25% some form of tutoring arrangement, while 23% mentioned mentoring, with one describing it as a “Personal academic mentoring program throughout degree for all mathematics students” and another saying “We tried a mentoring system once, but there was almost no uptake by students.” Other support </w:t>
      </w:r>
      <w:r>
        <w:t xml:space="preserve">structures </w:t>
      </w:r>
      <w:r w:rsidRPr="00202561">
        <w:t>mentioned included ‘study skills courses’, ‘maths clinics’, ‘support workshops’, ‘pre-course’, ‘remedial mathematics unit’, and a ‘Mathematics Learning Service (centrally situated), consulting &amp; assignment help room (School of Maths)</w:t>
      </w:r>
      <w:r>
        <w:t xml:space="preserve">. </w:t>
      </w:r>
      <w:r w:rsidRPr="00202561">
        <w:t>The MLS has a drop-in help room, and runs a series of seminars on Maths skills. These are also available to students on the web.’</w:t>
      </w:r>
      <w:r>
        <w:t xml:space="preserve"> Others talked of </w:t>
      </w:r>
      <w:r w:rsidRPr="007D4D36">
        <w:t>small group peer study, assisted study sessions, individual consultations, daily help sessions, orientation program</w:t>
      </w:r>
      <w:r>
        <w:t>mes and remedial courses</w:t>
      </w:r>
      <w:r w:rsidRPr="00202561">
        <w:t>.</w:t>
      </w:r>
      <w:r w:rsidR="00FD1694">
        <w:t xml:space="preserve"> </w:t>
      </w:r>
      <w:r w:rsidR="00984246">
        <w:t xml:space="preserve">There is some evidence that bridging courses can assist in transition (Varsavsky, </w:t>
      </w:r>
      <w:r w:rsidR="00984246" w:rsidRPr="000C6F9A">
        <w:t>2010)</w:t>
      </w:r>
      <w:r w:rsidR="00FD1694">
        <w:t>,</w:t>
      </w:r>
      <w:r w:rsidR="00984246">
        <w:t xml:space="preserve"> by addressing skill deficiencies in basic mathematical topics (Tempelaar, </w:t>
      </w:r>
      <w:r w:rsidR="00984246" w:rsidRPr="004522ED">
        <w:t>Rienties, Giesbers</w:t>
      </w:r>
      <w:r w:rsidR="00993A75">
        <w:t xml:space="preserve"> &amp; Schim van der Loeff, 2012) and </w:t>
      </w:r>
      <w:r w:rsidR="00984246">
        <w:t>building student confidence (</w:t>
      </w:r>
      <w:r w:rsidR="00984246" w:rsidRPr="000C6F9A">
        <w:t xml:space="preserve">Carmichael </w:t>
      </w:r>
      <w:r w:rsidR="00984246">
        <w:t xml:space="preserve">&amp; Taylor, </w:t>
      </w:r>
      <w:r w:rsidR="00993A75">
        <w:t xml:space="preserve">2005). </w:t>
      </w:r>
      <w:r w:rsidR="00984246">
        <w:t xml:space="preserve">Other successful transition courses (e.g., Leviatan, </w:t>
      </w:r>
      <w:r w:rsidR="00984246" w:rsidRPr="000C6F9A">
        <w:t>2008</w:t>
      </w:r>
      <w:r w:rsidR="00984246">
        <w:t xml:space="preserve">; </w:t>
      </w:r>
      <w:r w:rsidR="00984246" w:rsidRPr="000C6F9A">
        <w:t xml:space="preserve">Oates, Paterson, Reilly </w:t>
      </w:r>
      <w:r w:rsidR="00984246">
        <w:t>&amp; Statham, 2005</w:t>
      </w:r>
      <w:r w:rsidR="00984246" w:rsidRPr="000C6F9A">
        <w:t xml:space="preserve">) </w:t>
      </w:r>
      <w:r w:rsidR="00984246">
        <w:t xml:space="preserve">have </w:t>
      </w:r>
      <w:r w:rsidR="00984246" w:rsidRPr="000C6F9A">
        <w:t>introduce</w:t>
      </w:r>
      <w:r w:rsidR="00984246">
        <w:t>d</w:t>
      </w:r>
      <w:r w:rsidR="00984246" w:rsidRPr="000C6F9A">
        <w:t xml:space="preserve"> </w:t>
      </w:r>
      <w:r w:rsidR="00984246">
        <w:t xml:space="preserve">students to the </w:t>
      </w:r>
      <w:r w:rsidR="00984246" w:rsidRPr="000C6F9A">
        <w:t xml:space="preserve">mathematical “culture” </w:t>
      </w:r>
      <w:r w:rsidR="00984246">
        <w:t>and</w:t>
      </w:r>
      <w:r w:rsidR="00984246" w:rsidRPr="000C6F9A">
        <w:t xml:space="preserve"> </w:t>
      </w:r>
      <w:r w:rsidR="00984246">
        <w:t xml:space="preserve">its typical </w:t>
      </w:r>
      <w:r w:rsidR="00984246" w:rsidRPr="000C6F9A">
        <w:t>activities (generalizations, deducti</w:t>
      </w:r>
      <w:r w:rsidR="00984246">
        <w:t xml:space="preserve">ons, definitions, proofs, etc.), as well as </w:t>
      </w:r>
      <w:r w:rsidR="00984246" w:rsidRPr="000C6F9A">
        <w:t>central concepts and tools</w:t>
      </w:r>
      <w:r w:rsidR="00984246">
        <w:t>, or comprise a</w:t>
      </w:r>
      <w:r w:rsidR="00984246" w:rsidRPr="000C6F9A">
        <w:t xml:space="preserve"> first year programme of tutor training and collaborative tutorials</w:t>
      </w:r>
      <w:r w:rsidR="00984246">
        <w:t>.</w:t>
      </w:r>
      <w:r w:rsidR="00FA3E50">
        <w:t xml:space="preserve"> While most universities have such courses it appears that establishment of one by those who do not would assist students with transition.</w:t>
      </w:r>
    </w:p>
    <w:p w14:paraId="7C537D58" w14:textId="109E11CF" w:rsidR="00222B4E" w:rsidRPr="0042462C" w:rsidRDefault="00222B4E" w:rsidP="006B3F4B">
      <w:pPr>
        <w:pStyle w:val="ICMENormal"/>
      </w:pPr>
      <w:r>
        <w:t>Overall</w:t>
      </w:r>
      <w:r w:rsidR="00FA3E50">
        <w:t xml:space="preserve"> the survey confirmed that students do have some problems in transition and these are sometimes related to a mathematical preparation that could be improved. However, there are </w:t>
      </w:r>
      <w:r w:rsidR="00F64753">
        <w:t xml:space="preserve">also </w:t>
      </w:r>
      <w:r w:rsidR="00FA3E50">
        <w:t xml:space="preserve">a number of areas that universities could address to assist students, such as adjusting the content of first year courses, and instituting a course on proving and proof </w:t>
      </w:r>
      <w:r w:rsidR="00F64753">
        <w:t>(where this</w:t>
      </w:r>
      <w:r w:rsidR="00FA3E50">
        <w:t xml:space="preserve"> do</w:t>
      </w:r>
      <w:r w:rsidR="00F64753">
        <w:t>es</w:t>
      </w:r>
      <w:r w:rsidR="00FA3E50">
        <w:t xml:space="preserve">n’t exist) </w:t>
      </w:r>
      <w:r w:rsidR="00F64753">
        <w:t xml:space="preserve">and constructing a </w:t>
      </w:r>
      <w:r w:rsidR="00FA3E50">
        <w:t>bridging course.</w:t>
      </w:r>
    </w:p>
    <w:p w14:paraId="3CE8FF50" w14:textId="77777777" w:rsidR="006B3F4B" w:rsidRDefault="006B3F4B" w:rsidP="006B3F4B">
      <w:pPr>
        <w:pStyle w:val="ICMEHeading2"/>
      </w:pPr>
      <w:r>
        <w:t>literature review</w:t>
      </w:r>
    </w:p>
    <w:p w14:paraId="7DCE8A43" w14:textId="77777777" w:rsidR="008868FA" w:rsidRPr="0074694D" w:rsidRDefault="008868FA" w:rsidP="008868FA">
      <w:pPr>
        <w:pStyle w:val="ICMEHeading3"/>
      </w:pPr>
      <w:r>
        <w:t>Theoretical Perspectives in the transition literature</w:t>
      </w:r>
    </w:p>
    <w:p w14:paraId="6CC28754" w14:textId="25502DE9" w:rsidR="008868FA" w:rsidRDefault="008868FA" w:rsidP="008868FA">
      <w:pPr>
        <w:pStyle w:val="ICMENormal"/>
      </w:pPr>
      <w:r>
        <w:t xml:space="preserve">A number of different lenses have been used to analyse the mathematical transition from school to university. </w:t>
      </w:r>
      <w:r w:rsidR="00F01EDC">
        <w:t>Some</w:t>
      </w:r>
      <w:r>
        <w:t xml:space="preserve"> have been summarised well elsewhere (see e.g., </w:t>
      </w:r>
      <w:r w:rsidRPr="00E41B74">
        <w:t>Winsløw, 2010)</w:t>
      </w:r>
      <w:r>
        <w:t xml:space="preserve"> but we preface our </w:t>
      </w:r>
      <w:r w:rsidR="00F90CC8">
        <w:t>discussion</w:t>
      </w:r>
      <w:r>
        <w:t xml:space="preserve"> with a brief </w:t>
      </w:r>
      <w:r w:rsidR="00F90CC8">
        <w:t>list of</w:t>
      </w:r>
      <w:r>
        <w:t xml:space="preserve"> the major theoretical perspectives we </w:t>
      </w:r>
      <w:r w:rsidR="00F90CC8">
        <w:t>found</w:t>
      </w:r>
      <w:r>
        <w:t xml:space="preserve"> in the transition-related literature. One theory that is in common use is the Anthropological Theory of Didactics (ATD) based on the ideas of Chevallard (1985)</w:t>
      </w:r>
      <w:r w:rsidR="00F90CC8">
        <w:t xml:space="preserve">, with its </w:t>
      </w:r>
      <w:r>
        <w:t xml:space="preserve">concept of a </w:t>
      </w:r>
      <w:r w:rsidRPr="00C05625">
        <w:rPr>
          <w:i/>
        </w:rPr>
        <w:t>praxeology</w:t>
      </w:r>
      <w:r>
        <w:t xml:space="preserve"> </w:t>
      </w:r>
      <w:r w:rsidR="00F90CC8">
        <w:t xml:space="preserve">comprising </w:t>
      </w:r>
      <w:r>
        <w:t>task</w:t>
      </w:r>
      <w:r w:rsidR="00F90CC8">
        <w:t>, technique, technology, theory. ATD</w:t>
      </w:r>
      <w:r>
        <w:t xml:space="preserve"> focuses on analysis of the organisation of praxeologies relative to institutions and the diachronic development of didactic systems. A second </w:t>
      </w:r>
      <w:r w:rsidR="00F90CC8">
        <w:t>common perpective</w:t>
      </w:r>
      <w:r>
        <w:t xml:space="preserve"> is the Theory of Didactical Situations (TDS) of Brousseau (1997), which </w:t>
      </w:r>
      <w:r w:rsidR="00F90CC8">
        <w:t>employs</w:t>
      </w:r>
      <w:r>
        <w:t xml:space="preserve"> </w:t>
      </w:r>
      <w:r w:rsidRPr="004279F9">
        <w:rPr>
          <w:i/>
        </w:rPr>
        <w:t>didactical situations</w:t>
      </w:r>
      <w:r>
        <w:t xml:space="preserve"> </w:t>
      </w:r>
      <w:r w:rsidR="00F90CC8">
        <w:t xml:space="preserve">in which </w:t>
      </w:r>
      <w:r>
        <w:t xml:space="preserve">the teacher orchestrates elements of the didactical milieu under the constraints of a dynamic didactical contract. </w:t>
      </w:r>
      <w:r w:rsidR="00F90CC8">
        <w:t>Other</w:t>
      </w:r>
      <w:r>
        <w:t xml:space="preserve"> </w:t>
      </w:r>
      <w:r>
        <w:lastRenderedPageBreak/>
        <w:t xml:space="preserve">research uses the action-process-object-schema (APOS) framework </w:t>
      </w:r>
      <w:r w:rsidR="00F90CC8">
        <w:t>of Dubinsky (e.g. Dubinsky &amp; McDonald, 2001) for studying learning</w:t>
      </w:r>
      <w:r>
        <w:t xml:space="preserve">. This describes how a process may be constructed from actions by reflective abstraction, and subsequently an object is formed by encapsulation of the process. Other authors find the </w:t>
      </w:r>
      <w:r w:rsidRPr="00482ED4">
        <w:t xml:space="preserve">Three Worlds of Mathematics </w:t>
      </w:r>
      <w:r>
        <w:t xml:space="preserve">(TWM) </w:t>
      </w:r>
      <w:r w:rsidRPr="00482ED4">
        <w:t>framework of Tall (2008)</w:t>
      </w:r>
      <w:r>
        <w:t xml:space="preserve"> useful</w:t>
      </w:r>
      <w:r w:rsidRPr="00482ED4">
        <w:t xml:space="preserve">. </w:t>
      </w:r>
      <w:r>
        <w:t>This describes thinking and learning as taking place in three worlds: the embodied; the symbolic; and the formal. In the embodied world we build mental conceptions using visual and physical attributes of concepts, along with enactive sensual experiences. The symbolic world is where the symbolic representations of concepts are acted upon, or manipulated, and the formal world is where properties of objects are formalized as axioms, and learning comprises the building and proving of theorems by logical deduction from these axioms.</w:t>
      </w:r>
      <w:r w:rsidR="00F90CC8">
        <w:t xml:space="preserve"> We use the acronyms above to refer to each of these frameworks in the text below.</w:t>
      </w:r>
    </w:p>
    <w:p w14:paraId="75C5FB1A" w14:textId="4DE4C90A" w:rsidR="009654A0" w:rsidRPr="00E302CD" w:rsidRDefault="009654A0" w:rsidP="00E302CD">
      <w:pPr>
        <w:pStyle w:val="ICMEHeading3"/>
      </w:pPr>
      <w:r w:rsidRPr="00E302CD">
        <w:t>Calculus</w:t>
      </w:r>
      <w:r w:rsidR="00065DB6" w:rsidRPr="00E302CD">
        <w:t xml:space="preserve"> and </w:t>
      </w:r>
      <w:r w:rsidR="00352C8B" w:rsidRPr="00E302CD">
        <w:t>A</w:t>
      </w:r>
      <w:r w:rsidR="00065DB6" w:rsidRPr="00E302CD">
        <w:t>nalysis</w:t>
      </w:r>
    </w:p>
    <w:p w14:paraId="6FDA27D2" w14:textId="7AEF61E4" w:rsidR="00EE7967" w:rsidRDefault="00875230" w:rsidP="0058516E">
      <w:pPr>
        <w:pStyle w:val="ICMENormal"/>
      </w:pPr>
      <w:r>
        <w:t>A number of</w:t>
      </w:r>
      <w:r w:rsidR="009654A0" w:rsidRPr="00540787">
        <w:t xml:space="preserve"> </w:t>
      </w:r>
      <w:r w:rsidR="00A36735">
        <w:t>studies have focused on</w:t>
      </w:r>
      <w:r w:rsidR="009654A0" w:rsidRPr="00540787">
        <w:t xml:space="preserve"> the problems of </w:t>
      </w:r>
      <w:r w:rsidR="00A36735">
        <w:t xml:space="preserve">transition from </w:t>
      </w:r>
      <w:r w:rsidR="00FC756E">
        <w:t xml:space="preserve">calculus </w:t>
      </w:r>
      <w:r w:rsidR="00EE7967">
        <w:t>to</w:t>
      </w:r>
      <w:r w:rsidR="00FC756E">
        <w:t xml:space="preserve"> analysis</w:t>
      </w:r>
      <w:r w:rsidR="00EE7967">
        <w:t xml:space="preserve">, considering </w:t>
      </w:r>
      <w:r w:rsidR="009654A0" w:rsidRPr="00540787">
        <w:t>real numbers (</w:t>
      </w:r>
      <w:r w:rsidR="00BC7A5D">
        <w:t>Berg</w:t>
      </w:r>
      <w:r w:rsidR="00731BBC" w:rsidRPr="00EA0BFA">
        <w:t>é</w:t>
      </w:r>
      <w:r w:rsidR="00BC7A5D">
        <w:t xml:space="preserve">, </w:t>
      </w:r>
      <w:r w:rsidR="00731BBC">
        <w:t xml:space="preserve">2008, </w:t>
      </w:r>
      <w:r w:rsidR="00BC7A5D">
        <w:t xml:space="preserve">2010; </w:t>
      </w:r>
      <w:r w:rsidR="009654A0" w:rsidRPr="00540787">
        <w:t>Ghedamsi, 2008</w:t>
      </w:r>
      <w:r w:rsidR="00540BA2">
        <w:t>; Mamona-Downs, 2010</w:t>
      </w:r>
      <w:r w:rsidR="009654A0" w:rsidRPr="00540787">
        <w:t>)</w:t>
      </w:r>
      <w:r w:rsidR="00FC756E">
        <w:t>,</w:t>
      </w:r>
      <w:r w:rsidR="009654A0" w:rsidRPr="00540787">
        <w:t xml:space="preserve"> fu</w:t>
      </w:r>
      <w:r w:rsidR="00F60760">
        <w:t xml:space="preserve">nctions (Dias, Artigue, Jahn &amp; </w:t>
      </w:r>
      <w:r w:rsidR="009654A0" w:rsidRPr="00540787">
        <w:t>Campos, 2008; Vandebrouk, 2010)</w:t>
      </w:r>
      <w:r w:rsidR="00FC756E">
        <w:t>,</w:t>
      </w:r>
      <w:r w:rsidR="009654A0" w:rsidRPr="00540787">
        <w:t xml:space="preserve"> limi</w:t>
      </w:r>
      <w:r w:rsidR="00982D99">
        <w:t xml:space="preserve">ts (Bloch et al. 2006; Bloch &amp; </w:t>
      </w:r>
      <w:r w:rsidR="002C4D8F">
        <w:t>Ghedamsi, 2004, 2010</w:t>
      </w:r>
      <w:r w:rsidR="009654A0" w:rsidRPr="00540787">
        <w:t>)</w:t>
      </w:r>
      <w:r w:rsidR="00FC756E">
        <w:t>,</w:t>
      </w:r>
      <w:r w:rsidR="001C15F1">
        <w:t xml:space="preserve"> </w:t>
      </w:r>
      <w:r w:rsidR="00BC65B5">
        <w:t>continuity (Artigue, 2008)</w:t>
      </w:r>
      <w:r w:rsidR="00CD31AE">
        <w:t xml:space="preserve"> and</w:t>
      </w:r>
      <w:r w:rsidR="00BC65B5">
        <w:t xml:space="preserve"> </w:t>
      </w:r>
      <w:r w:rsidR="00BC65B5" w:rsidRPr="0080763B">
        <w:t>open and closed sets (Bridoux, 2010</w:t>
      </w:r>
      <w:r w:rsidR="00EE7967">
        <w:t>)</w:t>
      </w:r>
      <w:r w:rsidR="00BC65B5" w:rsidRPr="0080763B">
        <w:t xml:space="preserve"> </w:t>
      </w:r>
      <w:r w:rsidR="001C15F1">
        <w:t>and</w:t>
      </w:r>
      <w:r w:rsidR="009654A0" w:rsidRPr="00540787">
        <w:t xml:space="preserve"> sequences and series (González-Martin, 2009; Gy</w:t>
      </w:r>
      <w:r w:rsidR="00320A4B">
        <w:t>öngyösi, Solovej &amp; Winsløw, 2011</w:t>
      </w:r>
      <w:r w:rsidR="009654A0" w:rsidRPr="00540787">
        <w:t xml:space="preserve">). </w:t>
      </w:r>
      <w:r w:rsidR="00F01EDC">
        <w:t xml:space="preserve">From these some </w:t>
      </w:r>
      <w:r w:rsidR="00EE7967">
        <w:t xml:space="preserve">key </w:t>
      </w:r>
      <w:r w:rsidR="00CB5A73">
        <w:t xml:space="preserve">areas giving rise to epistemological and mathematical obstacles </w:t>
      </w:r>
      <w:r w:rsidR="00EE7967">
        <w:t xml:space="preserve">have been identified. </w:t>
      </w:r>
    </w:p>
    <w:p w14:paraId="53AAF381" w14:textId="0281D4E1" w:rsidR="00EE7967" w:rsidRDefault="005420D2" w:rsidP="00340725">
      <w:pPr>
        <w:pStyle w:val="ICMENormal"/>
      </w:pPr>
      <w:r>
        <w:rPr>
          <w:i/>
        </w:rPr>
        <w:t xml:space="preserve">Functions: </w:t>
      </w:r>
      <w:r w:rsidR="00BF7272">
        <w:t>Students have a</w:t>
      </w:r>
      <w:r w:rsidR="00EE7967" w:rsidRPr="00482ED4">
        <w:t xml:space="preserve"> limited understanding of the concept of function</w:t>
      </w:r>
      <w:r w:rsidR="00EE7967">
        <w:t xml:space="preserve"> (Junior, 2006) </w:t>
      </w:r>
      <w:r w:rsidR="00BF7272">
        <w:t>and</w:t>
      </w:r>
      <w:r w:rsidR="00EE7967">
        <w:t xml:space="preserve"> need to be able to switch between local and global perspectives (Artigue, 2009; Rogalski, 2008; Vandebrouck, 2010, 2011). Using a TWM lens suggest</w:t>
      </w:r>
      <w:r w:rsidR="00BF7272">
        <w:t>s</w:t>
      </w:r>
      <w:r w:rsidR="00EE7967">
        <w:t xml:space="preserve"> a </w:t>
      </w:r>
      <w:r w:rsidR="00EE7967" w:rsidRPr="001E781D">
        <w:t>need to reconceptualise the concept of function in terms of its multiple registers and process-object duality.</w:t>
      </w:r>
      <w:r w:rsidR="00EE7967">
        <w:t xml:space="preserve"> </w:t>
      </w:r>
      <w:r w:rsidR="00CB5A73">
        <w:t xml:space="preserve">The </w:t>
      </w:r>
      <w:r w:rsidR="00CB5A73" w:rsidRPr="00540787">
        <w:t>formal axiomatic world</w:t>
      </w:r>
      <w:r w:rsidR="00CB5A73">
        <w:t xml:space="preserve"> of university mathematics </w:t>
      </w:r>
      <w:r w:rsidR="00EE7967">
        <w:t>requires</w:t>
      </w:r>
      <w:r w:rsidR="00EE7967" w:rsidRPr="00540787">
        <w:t xml:space="preserve"> students </w:t>
      </w:r>
      <w:r w:rsidR="00CB5A73">
        <w:t>to</w:t>
      </w:r>
      <w:r w:rsidR="00EE7967" w:rsidRPr="00540787">
        <w:t xml:space="preserve"> adopt a local </w:t>
      </w:r>
      <w:r w:rsidR="00CB5A73">
        <w:t>perspective on functions</w:t>
      </w:r>
      <w:r w:rsidR="00EE7967">
        <w:t>, whereas only pointwis</w:t>
      </w:r>
      <w:r w:rsidR="00EE7967" w:rsidRPr="00540787">
        <w:t xml:space="preserve">e </w:t>
      </w:r>
      <w:r w:rsidR="00EE7967">
        <w:t>(</w:t>
      </w:r>
      <w:r w:rsidR="00EE7967" w:rsidRPr="00540787">
        <w:t>functions considered as</w:t>
      </w:r>
      <w:r w:rsidR="00EE7967">
        <w:t xml:space="preserve"> a</w:t>
      </w:r>
      <w:r w:rsidR="00EE7967" w:rsidRPr="00540787">
        <w:t xml:space="preserve"> correspondence between two sets of numbers</w:t>
      </w:r>
      <w:r w:rsidR="00EE7967">
        <w:t xml:space="preserve">) </w:t>
      </w:r>
      <w:r w:rsidR="00EE7967" w:rsidRPr="00540787">
        <w:t xml:space="preserve">and global points of view </w:t>
      </w:r>
      <w:r w:rsidR="00EE7967">
        <w:t>(</w:t>
      </w:r>
      <w:r w:rsidR="00EE7967" w:rsidRPr="00540787">
        <w:t>representations are tables of variation</w:t>
      </w:r>
      <w:r w:rsidR="00EE7967">
        <w:t xml:space="preserve">) </w:t>
      </w:r>
      <w:r w:rsidR="00EE7967" w:rsidRPr="00540787">
        <w:t>are constructed at secondary school</w:t>
      </w:r>
      <w:r w:rsidR="002C4D8F">
        <w:t xml:space="preserve"> (Vandebrouck, </w:t>
      </w:r>
      <w:r w:rsidR="00EE7967">
        <w:t>2011).</w:t>
      </w:r>
      <w:r w:rsidR="00CB5A73">
        <w:t xml:space="preserve"> An ATD-based </w:t>
      </w:r>
      <w:r w:rsidR="00CB5A73" w:rsidRPr="00540787">
        <w:t xml:space="preserve">study </w:t>
      </w:r>
      <w:r w:rsidR="00CB5A73">
        <w:t xml:space="preserve">of </w:t>
      </w:r>
      <w:r w:rsidR="00CB5A73" w:rsidRPr="00540787">
        <w:t>the transition from concrete to abstract</w:t>
      </w:r>
      <w:r w:rsidR="00CB5A73">
        <w:t xml:space="preserve"> perspectives</w:t>
      </w:r>
      <w:r w:rsidR="00CB5A73" w:rsidRPr="00540787">
        <w:t xml:space="preserve"> in real analysis </w:t>
      </w:r>
      <w:r w:rsidR="00CB5A73">
        <w:t>by Winsløw (2008) suggests that i</w:t>
      </w:r>
      <w:r w:rsidR="00CB5A73" w:rsidRPr="00540787">
        <w:t>n secondary schools the focus is on practical-theoretical bloc</w:t>
      </w:r>
      <w:r w:rsidR="00CB5A73">
        <w:t>k</w:t>
      </w:r>
      <w:r w:rsidR="00CB5A73" w:rsidRPr="00540787">
        <w:t>s of concrete analysis, while at university level the focus is on more complex praxeologies of concrete analysis and on abstract analysis. He considers two kinds of transitions in the student’s mathematical activity</w:t>
      </w:r>
      <w:r w:rsidR="00DD24C3">
        <w:t>:</w:t>
      </w:r>
      <w:r w:rsidR="00CB5A73" w:rsidRPr="00540787">
        <w:t xml:space="preserve"> from activity main</w:t>
      </w:r>
      <w:r w:rsidR="00CB5A73">
        <w:t xml:space="preserve">ly centred on practical blocks </w:t>
      </w:r>
      <w:r w:rsidR="00CB5A73" w:rsidRPr="00540787">
        <w:t xml:space="preserve">to </w:t>
      </w:r>
      <w:r w:rsidR="00CB5A73">
        <w:t xml:space="preserve">that of </w:t>
      </w:r>
      <w:r w:rsidR="00CB5A73" w:rsidRPr="00540787">
        <w:t>working with more comprehensive and structur</w:t>
      </w:r>
      <w:r w:rsidR="00DD24C3">
        <w:t>ed mathematical organisations</w:t>
      </w:r>
      <w:r w:rsidR="00D44AD6">
        <w:t xml:space="preserve">; </w:t>
      </w:r>
      <w:r w:rsidR="00DD24C3">
        <w:t>and</w:t>
      </w:r>
      <w:r w:rsidR="00CB5A73" w:rsidRPr="00540787">
        <w:t xml:space="preserve"> </w:t>
      </w:r>
      <w:r w:rsidR="00CB5A73">
        <w:t>to tasks with</w:t>
      </w:r>
      <w:r w:rsidR="00CB5A73" w:rsidRPr="00540787">
        <w:t xml:space="preserve"> theoretical objects.</w:t>
      </w:r>
      <w:r w:rsidR="00CB5A73">
        <w:t xml:space="preserve"> Since the </w:t>
      </w:r>
      <w:r w:rsidR="00CB5A73" w:rsidRPr="00540787">
        <w:t xml:space="preserve">second kind of transition presupposes the first an incomplete achievement of the first transition produces an obstacle for the second one by </w:t>
      </w:r>
      <w:r w:rsidR="00CB5A73">
        <w:t>making</w:t>
      </w:r>
      <w:r w:rsidR="00CB5A73" w:rsidRPr="00540787">
        <w:t xml:space="preserve"> the tasks to be worked on</w:t>
      </w:r>
      <w:r w:rsidR="00CB5A73">
        <w:t xml:space="preserve"> </w:t>
      </w:r>
      <w:r w:rsidR="00CB5A73" w:rsidRPr="00540787">
        <w:t>inaccessible</w:t>
      </w:r>
      <w:r w:rsidR="00CB5A73">
        <w:t>.</w:t>
      </w:r>
    </w:p>
    <w:p w14:paraId="142A2407" w14:textId="0440313A" w:rsidR="00173A1B" w:rsidRDefault="005420D2" w:rsidP="00340725">
      <w:pPr>
        <w:pStyle w:val="ICMENormal"/>
      </w:pPr>
      <w:r>
        <w:rPr>
          <w:i/>
        </w:rPr>
        <w:t xml:space="preserve">Limits: </w:t>
      </w:r>
      <w:r w:rsidR="00DD24C3">
        <w:t>Students</w:t>
      </w:r>
      <w:r w:rsidR="00D44AD6">
        <w:t xml:space="preserve"> need to work with limits, especially of infinite sequences or series.</w:t>
      </w:r>
      <w:r w:rsidR="008515B7">
        <w:t xml:space="preserve"> T</w:t>
      </w:r>
      <w:r w:rsidR="008515B7" w:rsidRPr="00540787">
        <w:t>wo obstacles regarding the concept of infinite sum</w:t>
      </w:r>
      <w:r w:rsidR="008515B7">
        <w:t xml:space="preserve"> are </w:t>
      </w:r>
      <w:r w:rsidR="008515B7" w:rsidRPr="00540787">
        <w:t>the intuitive and natural idea that the sum of infinity of terms should also be infinite, and the conception that an infinit</w:t>
      </w:r>
      <w:r w:rsidR="008515B7">
        <w:t>e process must go through each</w:t>
      </w:r>
      <w:r w:rsidR="008515B7" w:rsidRPr="00540787">
        <w:t xml:space="preserve"> step, one after the other and without stop</w:t>
      </w:r>
      <w:r w:rsidR="008515B7">
        <w:t>ping</w:t>
      </w:r>
      <w:r w:rsidR="008515B7" w:rsidRPr="00540787">
        <w:t>, which leads to</w:t>
      </w:r>
      <w:r w:rsidR="008515B7">
        <w:t xml:space="preserve"> the potential infinity concept (González-Martin, </w:t>
      </w:r>
      <w:r w:rsidR="008515B7" w:rsidRPr="00540787">
        <w:t>2009</w:t>
      </w:r>
      <w:r w:rsidR="008515B7">
        <w:t xml:space="preserve">; </w:t>
      </w:r>
      <w:r w:rsidR="008515B7" w:rsidRPr="00D046E0">
        <w:rPr>
          <w:lang w:val="en-GB" w:eastAsia="en-GB"/>
        </w:rPr>
        <w:t xml:space="preserve">González-Martín, Nardi, </w:t>
      </w:r>
      <w:r w:rsidR="008515B7">
        <w:rPr>
          <w:lang w:val="en-GB" w:eastAsia="en-GB"/>
        </w:rPr>
        <w:t xml:space="preserve">&amp; Biza, </w:t>
      </w:r>
      <w:r w:rsidR="008515B7" w:rsidRPr="00D046E0">
        <w:rPr>
          <w:lang w:val="en-GB" w:eastAsia="en-GB"/>
        </w:rPr>
        <w:t>2011)</w:t>
      </w:r>
      <w:r w:rsidR="008515B7">
        <w:rPr>
          <w:lang w:val="en-GB" w:eastAsia="en-GB"/>
        </w:rPr>
        <w:t xml:space="preserve">. </w:t>
      </w:r>
      <w:r w:rsidR="008515B7" w:rsidRPr="00BC7A5D">
        <w:t>According</w:t>
      </w:r>
      <w:r w:rsidR="008515B7">
        <w:t xml:space="preserve"> </w:t>
      </w:r>
      <w:r w:rsidR="008515B7">
        <w:lastRenderedPageBreak/>
        <w:t xml:space="preserve">to Oehrtman (2009), </w:t>
      </w:r>
      <w:r w:rsidR="008515B7" w:rsidRPr="00540787">
        <w:t>students’ reasoning about limit concepts appears to be influenced by metaphorical application of experiential conceptual domains</w:t>
      </w:r>
      <w:r w:rsidR="008515B7">
        <w:t>, including c</w:t>
      </w:r>
      <w:r w:rsidR="008515B7" w:rsidRPr="00540787">
        <w:t>ollapse</w:t>
      </w:r>
      <w:r w:rsidR="008515B7">
        <w:t xml:space="preserve">, </w:t>
      </w:r>
      <w:r w:rsidR="008515B7" w:rsidRPr="00540787">
        <w:t>approximation</w:t>
      </w:r>
      <w:r w:rsidR="008515B7">
        <w:t xml:space="preserve">, proximity, </w:t>
      </w:r>
      <w:r w:rsidR="008515B7" w:rsidRPr="00540787">
        <w:t xml:space="preserve">infinity as number </w:t>
      </w:r>
      <w:r w:rsidR="008515B7">
        <w:t xml:space="preserve">and </w:t>
      </w:r>
      <w:r w:rsidR="008515B7" w:rsidRPr="00540787">
        <w:t>physical limitation metaphors.</w:t>
      </w:r>
      <w:r w:rsidR="008515B7">
        <w:t xml:space="preserve"> However, only </w:t>
      </w:r>
      <w:r w:rsidR="008515B7" w:rsidRPr="00540787">
        <w:t>physical limitation metaphors</w:t>
      </w:r>
      <w:r w:rsidR="008515B7">
        <w:t xml:space="preserve"> were </w:t>
      </w:r>
      <w:r w:rsidR="008515B7" w:rsidRPr="00540787">
        <w:t>consistent</w:t>
      </w:r>
      <w:r w:rsidR="008515B7">
        <w:t>ly</w:t>
      </w:r>
      <w:r w:rsidR="008515B7" w:rsidRPr="00540787">
        <w:t xml:space="preserve"> detriment</w:t>
      </w:r>
      <w:r w:rsidR="008515B7">
        <w:t>al</w:t>
      </w:r>
      <w:r w:rsidR="008515B7" w:rsidRPr="00540787">
        <w:t xml:space="preserve"> to students’ understanding</w:t>
      </w:r>
      <w:r w:rsidR="008515B7">
        <w:t>. One</w:t>
      </w:r>
      <w:r w:rsidR="00071B6C" w:rsidRPr="00BC7A5D">
        <w:t xml:space="preserve"> </w:t>
      </w:r>
      <w:r w:rsidR="00BC7A5D" w:rsidRPr="00BC7A5D">
        <w:t>approach to building thinking about limits</w:t>
      </w:r>
      <w:r w:rsidR="00071B6C">
        <w:t>,</w:t>
      </w:r>
      <w:r w:rsidR="00BC7A5D" w:rsidRPr="00BC7A5D">
        <w:t xml:space="preserve"> </w:t>
      </w:r>
      <w:r w:rsidR="00071B6C">
        <w:t>suggested by M</w:t>
      </w:r>
      <w:r w:rsidR="00071B6C" w:rsidRPr="00BC7A5D">
        <w:t>amona-Downs (2010)</w:t>
      </w:r>
      <w:r w:rsidR="00071B6C">
        <w:t xml:space="preserve">, </w:t>
      </w:r>
      <w:r w:rsidR="00BC7A5D" w:rsidRPr="00BC7A5D">
        <w:t xml:space="preserve">is the set-oriented characterization of convergence behaviour of sequences </w:t>
      </w:r>
      <w:r w:rsidR="00BC7A5D">
        <w:t xml:space="preserve">of </w:t>
      </w:r>
      <w:r w:rsidR="00BC7A5D" w:rsidRPr="00BC7A5D">
        <w:t xml:space="preserve">that supports the </w:t>
      </w:r>
      <w:r w:rsidR="0090778C">
        <w:t>metaphor</w:t>
      </w:r>
      <w:r w:rsidR="00BC7A5D" w:rsidRPr="00BC7A5D">
        <w:t xml:space="preserve"> of ‘arbitrary closeness’ to a point</w:t>
      </w:r>
      <w:r w:rsidR="00A01FAD">
        <w:t>.</w:t>
      </w:r>
      <w:r w:rsidR="00BC7A5D" w:rsidRPr="00BC7A5D">
        <w:t xml:space="preserve"> </w:t>
      </w:r>
      <w:r w:rsidR="00EA3373">
        <w:t xml:space="preserve">Employing a TDS framework </w:t>
      </w:r>
      <w:r w:rsidR="00EA3373" w:rsidRPr="0080763B">
        <w:t>Ghedamsi (2008)</w:t>
      </w:r>
      <w:r w:rsidR="00EA3373">
        <w:t xml:space="preserve"> developed</w:t>
      </w:r>
      <w:r w:rsidR="00EA3373" w:rsidRPr="00EA3373">
        <w:t xml:space="preserve"> </w:t>
      </w:r>
      <w:r w:rsidR="00EA3373" w:rsidRPr="0080763B">
        <w:t>two situations</w:t>
      </w:r>
      <w:r w:rsidR="00EA3373">
        <w:t xml:space="preserve"> that</w:t>
      </w:r>
      <w:r w:rsidR="00EA3373" w:rsidRPr="0080763B">
        <w:t xml:space="preserve"> allowed students to connect productively the intuitive, perceptual and formal dimensions of the limit concept.</w:t>
      </w:r>
      <w:r w:rsidR="00EA3373">
        <w:t xml:space="preserve"> </w:t>
      </w:r>
      <w:r w:rsidR="00EA3373" w:rsidRPr="0080763B">
        <w:t xml:space="preserve">Two approximation methods were used as experimental situations: the construction of the better rational approximation of </w:t>
      </w:r>
      <w:r w:rsidR="00EA3373" w:rsidRPr="0080763B">
        <w:rPr>
          <w:noProof/>
          <w:position w:val="-6"/>
          <w:lang w:val="pt-BR" w:eastAsia="pt-BR"/>
        </w:rPr>
        <w:drawing>
          <wp:inline distT="0" distB="0" distL="0" distR="0" wp14:anchorId="14C3134B" wp14:editId="1AC7EE47">
            <wp:extent cx="244475" cy="2127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475" cy="212725"/>
                    </a:xfrm>
                    <a:prstGeom prst="rect">
                      <a:avLst/>
                    </a:prstGeom>
                    <a:noFill/>
                    <a:ln>
                      <a:noFill/>
                    </a:ln>
                  </pic:spPr>
                </pic:pic>
              </a:graphicData>
            </a:graphic>
          </wp:inline>
        </w:drawing>
      </w:r>
      <w:r w:rsidR="00EA3373" w:rsidRPr="0080763B">
        <w:t xml:space="preserve"> and, if possible, its generalisation to other irrationals; and the co</w:t>
      </w:r>
      <w:r w:rsidR="00EA3373">
        <w:t>sine</w:t>
      </w:r>
      <w:r w:rsidR="00EA3373" w:rsidRPr="0080763B">
        <w:t xml:space="preserve"> fix</w:t>
      </w:r>
      <w:r w:rsidR="00EA3373">
        <w:t xml:space="preserve">ed point, which </w:t>
      </w:r>
      <w:r w:rsidR="00EA3373" w:rsidRPr="0080763B">
        <w:t>gives access to real numbe</w:t>
      </w:r>
      <w:r w:rsidR="00EA3373">
        <w:t>rs that we cannot make explicit</w:t>
      </w:r>
      <w:r w:rsidR="00EA3373" w:rsidRPr="0080763B">
        <w:t xml:space="preserve"> and consequently requires the implementation of formal procedures.</w:t>
      </w:r>
    </w:p>
    <w:p w14:paraId="03B8CFEF" w14:textId="2498CF3E" w:rsidR="00931D55" w:rsidRPr="008515B7" w:rsidRDefault="00931D55" w:rsidP="00340725">
      <w:pPr>
        <w:pStyle w:val="ICMENormal"/>
      </w:pPr>
      <w:r w:rsidRPr="00931D55">
        <w:rPr>
          <w:i/>
        </w:rPr>
        <w:t>Institutional factors;</w:t>
      </w:r>
      <w:r>
        <w:t xml:space="preserve"> </w:t>
      </w:r>
      <w:proofErr w:type="gramStart"/>
      <w:r>
        <w:t>An</w:t>
      </w:r>
      <w:proofErr w:type="gramEnd"/>
      <w:r>
        <w:t xml:space="preserve"> aspect of transition highlighted by the ATD is that praxeologies exist in relation to institutions. Employing the affordances of ATD, Praslon (2000) showed that by the end of high school in France a substantial institutional relationship with the concept of derivative is already established. Hence, for this concept</w:t>
      </w:r>
      <w:r w:rsidR="00DD24C3">
        <w:t>,</w:t>
      </w:r>
      <w:r>
        <w:t xml:space="preserve"> he claims that the secondary-tertiary transition is not about intuitive and proceptual perspectives moving towards formal perspectives, as TWM might suggest, but is more complex, involving an accumulation of micro-breaches and changes in balance according several dimensions (tool/object dimensions, particular/general objects, autonomy given in the solving process, role of proofs, etc). Building on this work Bloch </w:t>
      </w:r>
      <w:r w:rsidR="0016763B">
        <w:t xml:space="preserve">and </w:t>
      </w:r>
      <w:r w:rsidR="0016763B" w:rsidRPr="0080763B">
        <w:t>Ghedamsi</w:t>
      </w:r>
      <w:r w:rsidR="0016763B">
        <w:t xml:space="preserve"> </w:t>
      </w:r>
      <w:r>
        <w:t xml:space="preserve">(2004) identified nine factors contributing to a discontinuity between high school and university in analysis and </w:t>
      </w:r>
      <w:r w:rsidRPr="00AF750E">
        <w:t>B</w:t>
      </w:r>
      <w:r>
        <w:t>osch, Fonseca and Gascón (</w:t>
      </w:r>
      <w:r w:rsidRPr="00AF750E">
        <w:t>20</w:t>
      </w:r>
      <w:r>
        <w:t xml:space="preserve">04) show the existence of strong discontinuities in the praxeological organization between high school and university, and build specific tools for qualifying and quantifying these. Also employing an </w:t>
      </w:r>
      <w:r w:rsidRPr="00540787">
        <w:t>institutional approach</w:t>
      </w:r>
      <w:r>
        <w:t>, Dias, Artigue, Jahn and Campos (2008) conducted</w:t>
      </w:r>
      <w:r w:rsidRPr="00540787">
        <w:t xml:space="preserve"> a comparative </w:t>
      </w:r>
      <w:r>
        <w:t xml:space="preserve">ATD </w:t>
      </w:r>
      <w:r w:rsidRPr="00540787">
        <w:t>study of the secondary-tertiary transition in Brazil and France, using the co</w:t>
      </w:r>
      <w:r>
        <w:t xml:space="preserve">ncept of function as a filter. They </w:t>
      </w:r>
      <w:r w:rsidRPr="00540787">
        <w:t xml:space="preserve">conclude that </w:t>
      </w:r>
      <w:r>
        <w:t xml:space="preserve">although </w:t>
      </w:r>
      <w:r w:rsidRPr="00540787">
        <w:t xml:space="preserve">contextual influences tend to remain invisible </w:t>
      </w:r>
      <w:r>
        <w:t xml:space="preserve">there is a need for those </w:t>
      </w:r>
      <w:r w:rsidRPr="00540787">
        <w:t xml:space="preserve">inside a given educational system </w:t>
      </w:r>
      <w:r>
        <w:t>to become</w:t>
      </w:r>
      <w:r w:rsidRPr="00540787">
        <w:t xml:space="preserve"> aware of </w:t>
      </w:r>
      <w:r>
        <w:t>them</w:t>
      </w:r>
      <w:r w:rsidRPr="00540787">
        <w:t xml:space="preserve"> </w:t>
      </w:r>
      <w:r>
        <w:t>in order to envisage productive collaborative work</w:t>
      </w:r>
      <w:r w:rsidRPr="00540787">
        <w:t xml:space="preserve"> and </w:t>
      </w:r>
      <w:r>
        <w:t>evolution</w:t>
      </w:r>
      <w:r w:rsidRPr="00540787">
        <w:t xml:space="preserve"> </w:t>
      </w:r>
      <w:r>
        <w:t>of the system</w:t>
      </w:r>
      <w:r w:rsidRPr="00540787">
        <w:t>.</w:t>
      </w:r>
      <w:r>
        <w:t xml:space="preserve"> One crucial aspect of the institution studied by Smida and Ghedamsi (2006) is the teaching practice of the lecturers. </w:t>
      </w:r>
      <w:r w:rsidRPr="00540787">
        <w:t>They distinguish two kinds of teaching projects leading to two differe</w:t>
      </w:r>
      <w:r>
        <w:t>nt models of teaching practices: those</w:t>
      </w:r>
      <w:r w:rsidRPr="00540787">
        <w:t xml:space="preserve"> where axiomatic, structures and formalism are the discourse </w:t>
      </w:r>
      <w:r>
        <w:t>that</w:t>
      </w:r>
      <w:r w:rsidRPr="00540787">
        <w:t xml:space="preserve"> justify and generate the </w:t>
      </w:r>
      <w:r>
        <w:t xml:space="preserve">expected knowledge and know-how; and </w:t>
      </w:r>
      <w:r w:rsidRPr="00540787">
        <w:t>projects where the</w:t>
      </w:r>
      <w:r w:rsidR="00DD24C3">
        <w:t xml:space="preserve"> intent is to</w:t>
      </w:r>
      <w:r w:rsidRPr="00540787">
        <w:t xml:space="preserve"> </w:t>
      </w:r>
      <w:r>
        <w:t>enrol in a constructivist setting. Further they highlight three</w:t>
      </w:r>
      <w:r w:rsidRPr="00540787">
        <w:t xml:space="preserve"> groups of lecturers: </w:t>
      </w:r>
      <w:r>
        <w:t>those</w:t>
      </w:r>
      <w:r w:rsidRPr="00540787">
        <w:t xml:space="preserve"> with a logico-theoretical profile, who do not take</w:t>
      </w:r>
      <w:r>
        <w:t xml:space="preserve"> into account cognitive demands; those</w:t>
      </w:r>
      <w:r w:rsidRPr="00540787">
        <w:t xml:space="preserve"> with a logico-constructivist profile, who have some cognitive concern; </w:t>
      </w:r>
      <w:r>
        <w:t>and those</w:t>
      </w:r>
      <w:r w:rsidRPr="00540787">
        <w:t xml:space="preserve"> who take</w:t>
      </w:r>
      <w:r>
        <w:t xml:space="preserve"> into account cognitive demands.</w:t>
      </w:r>
    </w:p>
    <w:p w14:paraId="0DC1A4B5" w14:textId="283EC4C4" w:rsidR="002B4388" w:rsidRDefault="00DD24C3" w:rsidP="0058516E">
      <w:pPr>
        <w:pStyle w:val="ICMENormal"/>
      </w:pPr>
      <w:r w:rsidRPr="00DD24C3">
        <w:rPr>
          <w:i/>
        </w:rPr>
        <w:t>Other areas</w:t>
      </w:r>
      <w:r>
        <w:t xml:space="preserve">: </w:t>
      </w:r>
      <w:r w:rsidR="00EA3373">
        <w:t xml:space="preserve">One TDS-based research project examined </w:t>
      </w:r>
      <w:r w:rsidR="004C623D" w:rsidRPr="0080763B">
        <w:t>a succession of situations for introducing the notions of i</w:t>
      </w:r>
      <w:r w:rsidR="006D0123" w:rsidRPr="0080763B">
        <w:t>nterior and closure of a set and</w:t>
      </w:r>
      <w:r w:rsidR="00EA3373">
        <w:t xml:space="preserve"> open and closed set (Bridoux, </w:t>
      </w:r>
      <w:r w:rsidR="00EA3373" w:rsidRPr="0080763B">
        <w:t>2010)</w:t>
      </w:r>
      <w:r w:rsidR="00EA3373">
        <w:t xml:space="preserve">, using </w:t>
      </w:r>
      <w:r w:rsidR="005F5B61" w:rsidRPr="0080763B">
        <w:t xml:space="preserve">meta-mathematical discourse and </w:t>
      </w:r>
      <w:r w:rsidR="004C623D" w:rsidRPr="0080763B">
        <w:t xml:space="preserve">graphical representations to </w:t>
      </w:r>
      <w:r w:rsidR="005F5B61" w:rsidRPr="0080763B">
        <w:t>assist</w:t>
      </w:r>
      <w:r w:rsidR="004C623D" w:rsidRPr="0080763B">
        <w:t xml:space="preserve"> students to develop an intuitive insight </w:t>
      </w:r>
      <w:r w:rsidR="005F5B61" w:rsidRPr="0080763B">
        <w:t>that</w:t>
      </w:r>
      <w:r w:rsidR="004C623D" w:rsidRPr="0080763B">
        <w:t xml:space="preserve"> allow</w:t>
      </w:r>
      <w:r w:rsidR="00EA3373">
        <w:t>ed</w:t>
      </w:r>
      <w:r w:rsidR="004C623D" w:rsidRPr="0080763B">
        <w:t xml:space="preserve"> the teacher to characterise them in a formal language.</w:t>
      </w:r>
      <w:r w:rsidR="00731BBC" w:rsidRPr="0080763B">
        <w:t xml:space="preserve"> </w:t>
      </w:r>
      <w:r w:rsidR="00EA3373">
        <w:lastRenderedPageBreak/>
        <w:t>Another</w:t>
      </w:r>
      <w:r w:rsidR="00F95F28">
        <w:t xml:space="preserve"> </w:t>
      </w:r>
      <w:r w:rsidR="00EA3373">
        <w:t xml:space="preserve">examined the </w:t>
      </w:r>
      <w:r w:rsidR="00F95F28">
        <w:t xml:space="preserve">notion of completeness </w:t>
      </w:r>
      <w:r w:rsidR="00EA3373">
        <w:t>(</w:t>
      </w:r>
      <w:r w:rsidR="00731BBC" w:rsidRPr="0080763B">
        <w:t>Bergé</w:t>
      </w:r>
      <w:r w:rsidR="00EA3373">
        <w:rPr>
          <w:noProof/>
          <w:lang w:eastAsia="en-US"/>
        </w:rPr>
        <w:t xml:space="preserve">, </w:t>
      </w:r>
      <w:r w:rsidR="00731BBC" w:rsidRPr="0080763B">
        <w:rPr>
          <w:noProof/>
          <w:lang w:eastAsia="en-US"/>
        </w:rPr>
        <w:t>2008, 2010)</w:t>
      </w:r>
      <w:r w:rsidR="00F95F28">
        <w:rPr>
          <w:noProof/>
          <w:lang w:eastAsia="en-US"/>
        </w:rPr>
        <w:t xml:space="preserve">, </w:t>
      </w:r>
      <w:r w:rsidR="00EA3373">
        <w:t>a</w:t>
      </w:r>
      <w:r w:rsidR="001B3DFB">
        <w:t>nalysing</w:t>
      </w:r>
      <w:r w:rsidR="001B3DFB" w:rsidRPr="0080763B">
        <w:t xml:space="preserve"> </w:t>
      </w:r>
      <w:r w:rsidR="00731BBC" w:rsidRPr="0080763B">
        <w:t xml:space="preserve">whether </w:t>
      </w:r>
      <w:r w:rsidR="00EA3373">
        <w:t>students</w:t>
      </w:r>
      <w:r w:rsidR="00731BBC" w:rsidRPr="0080763B">
        <w:t xml:space="preserve"> have an operational or </w:t>
      </w:r>
      <w:r>
        <w:t>conceptual view</w:t>
      </w:r>
      <w:r w:rsidR="0080763B" w:rsidRPr="0080763B">
        <w:t xml:space="preserve">, or </w:t>
      </w:r>
      <w:r w:rsidR="00A82C3B">
        <w:t xml:space="preserve">if it </w:t>
      </w:r>
      <w:r w:rsidR="00EA3373">
        <w:t>is taken for granted. The conclusion</w:t>
      </w:r>
      <w:r w:rsidR="0080763B" w:rsidRPr="0080763B">
        <w:t xml:space="preserve"> </w:t>
      </w:r>
      <w:r w:rsidR="00EA3373">
        <w:t>was</w:t>
      </w:r>
      <w:r w:rsidR="0080763B" w:rsidRPr="0080763B">
        <w:t xml:space="preserve"> that many students have a weak understanding that does not include ideas </w:t>
      </w:r>
      <w:r w:rsidR="00A82C3B">
        <w:t>such as:</w:t>
      </w:r>
      <w:r w:rsidR="0080763B" w:rsidRPr="0080763B">
        <w:t xml:space="preserve"> </w:t>
      </w:r>
      <w:r w:rsidR="0080763B" w:rsidRPr="00B60F9F">
        <w:rPr>
          <w:b/>
        </w:rPr>
        <w:t>R</w:t>
      </w:r>
      <w:r w:rsidR="0080763B" w:rsidRPr="0080763B">
        <w:t xml:space="preserve"> is the set that contains all the suprema of its bounded above subsets</w:t>
      </w:r>
      <w:r w:rsidR="00A82C3B">
        <w:t>;</w:t>
      </w:r>
      <w:r w:rsidR="0080763B" w:rsidRPr="0080763B">
        <w:t xml:space="preserve"> Cauchy sequences come from the necessity of characterizing the kind of sequences that ‘must’ converge</w:t>
      </w:r>
      <w:r w:rsidR="00A82C3B">
        <w:t>;</w:t>
      </w:r>
      <w:r w:rsidR="0080763B" w:rsidRPr="0080763B">
        <w:t xml:space="preserve"> and completeness is related to the issue whether a limit is guaranteed to lie in </w:t>
      </w:r>
      <w:r w:rsidR="0080763B" w:rsidRPr="00B60F9F">
        <w:rPr>
          <w:b/>
        </w:rPr>
        <w:t>R</w:t>
      </w:r>
      <w:r w:rsidR="0080763B" w:rsidRPr="0080763B">
        <w:t>.</w:t>
      </w:r>
    </w:p>
    <w:p w14:paraId="4EB62EE6" w14:textId="1B02DF63" w:rsidR="008C2A39" w:rsidRDefault="0020078E" w:rsidP="0058516E">
      <w:pPr>
        <w:pStyle w:val="ICMENormal"/>
      </w:pPr>
      <w:r>
        <w:t xml:space="preserve">Some </w:t>
      </w:r>
      <w:r w:rsidR="008C2A39">
        <w:t>possible way</w:t>
      </w:r>
      <w:r>
        <w:t>s</w:t>
      </w:r>
      <w:r w:rsidR="008C2A39">
        <w:t xml:space="preserve"> to </w:t>
      </w:r>
      <w:r>
        <w:t>assist</w:t>
      </w:r>
      <w:r w:rsidR="008C2A39">
        <w:t xml:space="preserve"> the </w:t>
      </w:r>
      <w:r w:rsidR="005420D2">
        <w:t xml:space="preserve">calculus-analysis </w:t>
      </w:r>
      <w:r w:rsidR="008C2A39">
        <w:t>transition</w:t>
      </w:r>
      <w:r w:rsidR="00815076">
        <w:t xml:space="preserve"> have </w:t>
      </w:r>
      <w:r w:rsidR="00DD24C3">
        <w:t xml:space="preserve">also </w:t>
      </w:r>
      <w:r w:rsidR="00815076">
        <w:t>been consider</w:t>
      </w:r>
      <w:r w:rsidR="00882ECC">
        <w:t>ed</w:t>
      </w:r>
      <w:r w:rsidR="00AD6E7D">
        <w:t>. For example, Gyöngyösi, Solovej</w:t>
      </w:r>
      <w:r>
        <w:t xml:space="preserve"> and</w:t>
      </w:r>
      <w:r w:rsidR="00AD6E7D">
        <w:t xml:space="preserve"> Winsløw</w:t>
      </w:r>
      <w:r w:rsidR="00320A4B">
        <w:t xml:space="preserve"> (</w:t>
      </w:r>
      <w:r w:rsidR="00AD6E7D">
        <w:t>2011</w:t>
      </w:r>
      <w:r w:rsidRPr="00540787">
        <w:t>) report an</w:t>
      </w:r>
      <w:r w:rsidR="00815076">
        <w:t xml:space="preserve"> </w:t>
      </w:r>
      <w:r w:rsidRPr="00540787">
        <w:t xml:space="preserve">experiment </w:t>
      </w:r>
      <w:r>
        <w:t xml:space="preserve">using </w:t>
      </w:r>
      <w:r w:rsidR="000F67FA">
        <w:t xml:space="preserve">Maple </w:t>
      </w:r>
      <w:r>
        <w:t>CAS-</w:t>
      </w:r>
      <w:r w:rsidRPr="00540787">
        <w:t>based work to ease the transition from</w:t>
      </w:r>
      <w:r w:rsidR="00DD24C3">
        <w:t xml:space="preserve"> calculus to real analysis</w:t>
      </w:r>
      <w:r w:rsidRPr="00540787">
        <w:t>.</w:t>
      </w:r>
      <w:r w:rsidR="000F67FA">
        <w:t xml:space="preserve"> </w:t>
      </w:r>
      <w:r w:rsidR="000F67FA" w:rsidRPr="00540787">
        <w:t xml:space="preserve">Using </w:t>
      </w:r>
      <w:r w:rsidR="00AD6E7D" w:rsidRPr="001E781D">
        <w:t>a combination of theoretical frameworks t</w:t>
      </w:r>
      <w:r w:rsidR="00AD6E7D">
        <w:t>o study transition</w:t>
      </w:r>
      <w:r w:rsidR="00AD6E7D" w:rsidRPr="001E781D">
        <w:t xml:space="preserve"> </w:t>
      </w:r>
      <w:r w:rsidR="00815076">
        <w:t>t</w:t>
      </w:r>
      <w:r w:rsidR="000F67FA">
        <w:t xml:space="preserve">hey </w:t>
      </w:r>
      <w:r w:rsidR="000F67FA" w:rsidRPr="00540787">
        <w:t xml:space="preserve">conclude that </w:t>
      </w:r>
      <w:r w:rsidR="00523677" w:rsidRPr="001E781D">
        <w:rPr>
          <w:lang w:eastAsia="en-GB"/>
        </w:rPr>
        <w:t>the use of instruments changes the kinds of mathematics students do</w:t>
      </w:r>
      <w:r w:rsidR="00523677">
        <w:rPr>
          <w:lang w:eastAsia="en-GB"/>
        </w:rPr>
        <w:t>, and</w:t>
      </w:r>
      <w:r w:rsidR="00523677" w:rsidRPr="001E781D">
        <w:rPr>
          <w:lang w:eastAsia="en-GB"/>
        </w:rPr>
        <w:t xml:space="preserve"> </w:t>
      </w:r>
      <w:r w:rsidR="00523677">
        <w:t>those</w:t>
      </w:r>
      <w:r w:rsidR="000F67FA" w:rsidRPr="00540787">
        <w:t xml:space="preserve"> with an overall lower perfor</w:t>
      </w:r>
      <w:r w:rsidR="00523677">
        <w:t>mance also commit more errors when</w:t>
      </w:r>
      <w:r w:rsidR="000F67FA" w:rsidRPr="00540787">
        <w:t xml:space="preserve"> using instrumented techniques.</w:t>
      </w:r>
      <w:r w:rsidR="000F67FA">
        <w:t xml:space="preserve"> </w:t>
      </w:r>
      <w:r w:rsidR="00815076">
        <w:t xml:space="preserve">A similar use of graphing calculator technology in consideration of the Fundamental Theorem of Calculus by </w:t>
      </w:r>
      <w:r w:rsidR="00815076" w:rsidRPr="00482ED4">
        <w:t>Scucuglia</w:t>
      </w:r>
      <w:r w:rsidR="00815076">
        <w:t xml:space="preserve"> (2006) </w:t>
      </w:r>
      <w:r w:rsidR="00815076" w:rsidRPr="00482ED4">
        <w:t>made it possible for the students to become gradually</w:t>
      </w:r>
      <w:r w:rsidR="00815076">
        <w:t xml:space="preserve"> engaged in </w:t>
      </w:r>
      <w:r w:rsidR="00815076" w:rsidRPr="00482ED4">
        <w:t>ded</w:t>
      </w:r>
      <w:r w:rsidR="00815076">
        <w:t>uctive mathematical discussions</w:t>
      </w:r>
      <w:r w:rsidR="00815076" w:rsidRPr="00482ED4">
        <w:t xml:space="preserve"> based on results obtained</w:t>
      </w:r>
      <w:r w:rsidR="00815076">
        <w:t xml:space="preserve"> from experiments. </w:t>
      </w:r>
      <w:r w:rsidR="00B6181E">
        <w:t xml:space="preserve">In </w:t>
      </w:r>
      <w:r w:rsidR="00882ECC">
        <w:t>addition</w:t>
      </w:r>
      <w:r w:rsidR="00B6181E">
        <w:t>, Biehler, Fischer, Hochmuth and</w:t>
      </w:r>
      <w:r w:rsidR="00B6181E" w:rsidRPr="00B6181E">
        <w:t xml:space="preserve"> Wassong </w:t>
      </w:r>
      <w:r w:rsidR="00B6181E">
        <w:t>(2011) propose</w:t>
      </w:r>
      <w:r w:rsidR="00B6181E" w:rsidRPr="00B6181E">
        <w:t xml:space="preserve"> </w:t>
      </w:r>
      <w:r w:rsidR="00B6181E" w:rsidRPr="001E781D">
        <w:t xml:space="preserve">that blending traditional course attendance with systematic e-learning study can facilitate the bridging of school and university mathematics. </w:t>
      </w:r>
    </w:p>
    <w:p w14:paraId="56F168ED" w14:textId="6ECAC532" w:rsidR="009654A0" w:rsidRPr="00404650" w:rsidRDefault="009654A0" w:rsidP="00E302CD">
      <w:pPr>
        <w:pStyle w:val="ICMEHeading3"/>
      </w:pPr>
      <w:r w:rsidRPr="00404650">
        <w:t>Abstract Algebra</w:t>
      </w:r>
    </w:p>
    <w:p w14:paraId="19350615" w14:textId="52C81BA2" w:rsidR="00C105E7" w:rsidRDefault="001341F5" w:rsidP="0058516E">
      <w:pPr>
        <w:pStyle w:val="ICMENormal"/>
      </w:pPr>
      <w:r>
        <w:t xml:space="preserve">Understanding the constructs, principles, and eventually axioms, of the algebra of generalised arithmetic could be a way to </w:t>
      </w:r>
      <w:r w:rsidR="00E319EA">
        <w:t xml:space="preserve">assist students in </w:t>
      </w:r>
      <w:r w:rsidR="00170D43">
        <w:t xml:space="preserve">the </w:t>
      </w:r>
      <w:r w:rsidR="00E319EA">
        <w:t xml:space="preserve">transition to </w:t>
      </w:r>
      <w:r w:rsidR="00170D43">
        <w:t xml:space="preserve">study of </w:t>
      </w:r>
      <w:r>
        <w:t xml:space="preserve">more general algebraic structures. With a focus on students’ work on solving </w:t>
      </w:r>
      <w:r w:rsidR="00F67E42">
        <w:t xml:space="preserve">a </w:t>
      </w:r>
      <w:r w:rsidRPr="001E781D">
        <w:t>parametric system of simultaneous equations and the difficulties they experience with working with var</w:t>
      </w:r>
      <w:r>
        <w:t xml:space="preserve">iables, parameters and unknowns, </w:t>
      </w:r>
      <w:r w:rsidRPr="001341F5">
        <w:t>Stadler</w:t>
      </w:r>
      <w:r w:rsidRPr="001E781D">
        <w:t xml:space="preserve"> </w:t>
      </w:r>
      <w:r>
        <w:t xml:space="preserve">(2011) </w:t>
      </w:r>
      <w:r w:rsidRPr="001E781D">
        <w:t>describes students’ experience of the transition from school to university mathematics as an often perplexing re-visiting of conten</w:t>
      </w:r>
      <w:r>
        <w:t>t and ways of working that seems</w:t>
      </w:r>
      <w:r w:rsidRPr="001E781D">
        <w:t xml:space="preserve"> simultaneously </w:t>
      </w:r>
      <w:r>
        <w:t xml:space="preserve">both </w:t>
      </w:r>
      <w:r w:rsidRPr="001E781D">
        <w:t xml:space="preserve">familiar and novel. </w:t>
      </w:r>
      <w:r>
        <w:t xml:space="preserve">Using a </w:t>
      </w:r>
      <w:r w:rsidRPr="001E781D">
        <w:t xml:space="preserve">perspective </w:t>
      </w:r>
      <w:r>
        <w:t xml:space="preserve">that </w:t>
      </w:r>
      <w:r w:rsidRPr="001E781D">
        <w:t xml:space="preserve">is discursive and enculturative, largely </w:t>
      </w:r>
      <w:r>
        <w:t>based on Sfard’s commognition, t</w:t>
      </w:r>
      <w:r w:rsidRPr="001E781D">
        <w:t xml:space="preserve">he </w:t>
      </w:r>
      <w:r w:rsidR="0029294B">
        <w:t>study showed that</w:t>
      </w:r>
      <w:r w:rsidR="00E319EA" w:rsidRPr="00504A3A">
        <w:t xml:space="preserve"> constructs of number, symbolic literals, operators, the ‘=’ symbol itself, and the formal equivalence relation, as well as the principles of arithmetic, all contribute to building a deep understanding of equation. </w:t>
      </w:r>
      <w:r w:rsidR="00DE0433">
        <w:t xml:space="preserve">This agrees with the observations of Godfrey </w:t>
      </w:r>
      <w:r w:rsidR="00071FB2">
        <w:t>and Thomas (</w:t>
      </w:r>
      <w:r w:rsidR="00071FB2" w:rsidRPr="00504A3A">
        <w:t>2008)</w:t>
      </w:r>
      <w:r w:rsidR="00DE0433">
        <w:t xml:space="preserve">, </w:t>
      </w:r>
      <w:proofErr w:type="gramStart"/>
      <w:r w:rsidR="00DE0433">
        <w:t>who</w:t>
      </w:r>
      <w:proofErr w:type="gramEnd"/>
      <w:r w:rsidR="00DE0433">
        <w:t xml:space="preserve">, using the TWM framework, </w:t>
      </w:r>
      <w:r w:rsidR="00071FB2">
        <w:t>provide</w:t>
      </w:r>
      <w:r w:rsidR="00DE0433">
        <w:t>d</w:t>
      </w:r>
      <w:r w:rsidR="00071FB2">
        <w:t xml:space="preserve"> evidence </w:t>
      </w:r>
      <w:r w:rsidR="00E319EA" w:rsidRPr="00504A3A">
        <w:t xml:space="preserve">that many students have a surface structure view of equation </w:t>
      </w:r>
      <w:r w:rsidR="00071FB2">
        <w:t>and fail</w:t>
      </w:r>
      <w:r w:rsidR="00E319EA" w:rsidRPr="00504A3A">
        <w:t xml:space="preserve"> to integrate the properties of the object with that surface structure. </w:t>
      </w:r>
      <w:r w:rsidR="0029294B">
        <w:t>For</w:t>
      </w:r>
      <w:r w:rsidR="00E319EA" w:rsidRPr="00504A3A">
        <w:t xml:space="preserve"> example</w:t>
      </w:r>
      <w:r w:rsidR="0029294B">
        <w:t>,</w:t>
      </w:r>
      <w:r w:rsidR="00E319EA" w:rsidRPr="00504A3A">
        <w:t xml:space="preserve"> an embodied input-output, procedural</w:t>
      </w:r>
      <w:r w:rsidR="00071FB2">
        <w:t>,</w:t>
      </w:r>
      <w:r w:rsidR="00E319EA" w:rsidRPr="00504A3A">
        <w:t xml:space="preserve"> or operational</w:t>
      </w:r>
      <w:r w:rsidR="00071FB2">
        <w:t>,</w:t>
      </w:r>
      <w:r w:rsidR="00E319EA" w:rsidRPr="00504A3A">
        <w:t xml:space="preserve"> view of equation persists for </w:t>
      </w:r>
      <w:r w:rsidR="00E319EA">
        <w:t>approximately</w:t>
      </w:r>
      <w:r w:rsidR="00E319EA" w:rsidRPr="00504A3A">
        <w:t xml:space="preserve"> 25% of secondary school students, even wh</w:t>
      </w:r>
      <w:r w:rsidR="0029294B">
        <w:t>en they reach university level</w:t>
      </w:r>
      <w:r w:rsidR="00B841EC">
        <w:t>,</w:t>
      </w:r>
      <w:r w:rsidR="0029294B">
        <w:t xml:space="preserve"> and </w:t>
      </w:r>
      <w:r w:rsidR="00E319EA" w:rsidRPr="00504A3A">
        <w:t>equivalence is not well understood</w:t>
      </w:r>
      <w:r w:rsidR="00071FB2">
        <w:t xml:space="preserve"> by school students</w:t>
      </w:r>
      <w:r w:rsidR="0029294B">
        <w:t>.</w:t>
      </w:r>
    </w:p>
    <w:p w14:paraId="06533D2B" w14:textId="4294B7FD" w:rsidR="009654A0" w:rsidRDefault="009654A0" w:rsidP="0058516E">
      <w:pPr>
        <w:pStyle w:val="ICMENormal"/>
      </w:pPr>
      <w:r w:rsidRPr="00404650">
        <w:t xml:space="preserve">Students’ encounter with </w:t>
      </w:r>
      <w:r w:rsidR="000870C4">
        <w:t>abstract alg</w:t>
      </w:r>
      <w:r w:rsidR="007D1E1A">
        <w:t>e</w:t>
      </w:r>
      <w:r w:rsidR="000870C4">
        <w:t>b</w:t>
      </w:r>
      <w:r w:rsidR="007D1E1A">
        <w:t>ra</w:t>
      </w:r>
      <w:r w:rsidRPr="00404650">
        <w:t xml:space="preserve"> </w:t>
      </w:r>
      <w:r w:rsidR="00443854">
        <w:t xml:space="preserve">at university </w:t>
      </w:r>
      <w:r w:rsidRPr="00404650">
        <w:t>marks a significant point in the transition to advanced mathematical formal</w:t>
      </w:r>
      <w:r w:rsidR="007D1E1A">
        <w:t>ism and abstraction. T</w:t>
      </w:r>
      <w:r w:rsidRPr="00404650">
        <w:t>opic</w:t>
      </w:r>
      <w:r w:rsidR="007D1E1A">
        <w:t>s such as group theory</w:t>
      </w:r>
      <w:r w:rsidRPr="00404650">
        <w:t xml:space="preserve"> </w:t>
      </w:r>
      <w:r w:rsidR="007D1E1A">
        <w:t>are</w:t>
      </w:r>
      <w:r w:rsidRPr="00404650">
        <w:t xml:space="preserve"> characterised by deeper levels of insight and sophistication (Barbeau, 1995</w:t>
      </w:r>
      <w:r w:rsidR="007D1E1A">
        <w:t>) and ask</w:t>
      </w:r>
      <w:r w:rsidRPr="00404650">
        <w:t xml:space="preserve"> of students</w:t>
      </w:r>
      <w:r>
        <w:t xml:space="preserve"> a</w:t>
      </w:r>
      <w:r w:rsidRPr="00404650">
        <w:t xml:space="preserve"> commitment to what is often a fast-paced first encounter in lectures (Clark et al</w:t>
      </w:r>
      <w:r>
        <w:t>.</w:t>
      </w:r>
      <w:r w:rsidRPr="00404650">
        <w:t>, 1997). As Hazzan (1999)</w:t>
      </w:r>
      <w:r w:rsidR="001341F5">
        <w:t xml:space="preserve"> </w:t>
      </w:r>
      <w:r w:rsidR="00443854">
        <w:t xml:space="preserve">notes, </w:t>
      </w:r>
      <w:r w:rsidR="001341F5">
        <w:t>students’ difficulty with abstract a</w:t>
      </w:r>
      <w:r w:rsidRPr="00404650">
        <w:t xml:space="preserve">lgebra can be attributed to the novelty of dealing with concepts </w:t>
      </w:r>
      <w:r w:rsidR="00443854">
        <w:t>that</w:t>
      </w:r>
      <w:r w:rsidR="00443854" w:rsidRPr="00404650">
        <w:t xml:space="preserve"> </w:t>
      </w:r>
      <w:r w:rsidRPr="00404650">
        <w:t>are introduced abstractly, defined and presented by their properties</w:t>
      </w:r>
      <w:r w:rsidR="00CA0276">
        <w:t>,</w:t>
      </w:r>
      <w:r w:rsidRPr="00404650">
        <w:t xml:space="preserve"> </w:t>
      </w:r>
      <w:r w:rsidR="00443854">
        <w:t>along with</w:t>
      </w:r>
      <w:r w:rsidRPr="00404650">
        <w:t xml:space="preserve"> an examination of what facts can be determined from the</w:t>
      </w:r>
      <w:r w:rsidR="00443854">
        <w:t>se</w:t>
      </w:r>
      <w:r w:rsidR="00CA0276">
        <w:t xml:space="preserve"> </w:t>
      </w:r>
      <w:r w:rsidR="00CA0276">
        <w:lastRenderedPageBreak/>
        <w:t>properties alone</w:t>
      </w:r>
      <w:r w:rsidRPr="00404650">
        <w:t xml:space="preserve">. </w:t>
      </w:r>
      <w:r w:rsidR="00095081">
        <w:t>T</w:t>
      </w:r>
      <w:r w:rsidR="00095081" w:rsidRPr="001E781D">
        <w:t xml:space="preserve">he role of verbalisation </w:t>
      </w:r>
      <w:r w:rsidR="00095081">
        <w:t xml:space="preserve">in this process, </w:t>
      </w:r>
      <w:r w:rsidR="00095081" w:rsidRPr="001E781D">
        <w:t>as a semantic mediator between symbolic and visual mathematical expression</w:t>
      </w:r>
      <w:r w:rsidR="00095081">
        <w:t>, may</w:t>
      </w:r>
      <w:r w:rsidR="00095081">
        <w:rPr>
          <w:i/>
        </w:rPr>
        <w:t xml:space="preserve"> </w:t>
      </w:r>
      <w:r w:rsidR="00CA0276" w:rsidRPr="00095081">
        <w:t>require a level of</w:t>
      </w:r>
      <w:r w:rsidR="00CA0276">
        <w:rPr>
          <w:i/>
        </w:rPr>
        <w:t xml:space="preserve"> </w:t>
      </w:r>
      <w:r w:rsidR="00CA0276" w:rsidRPr="001E781D">
        <w:t>verbalisation skills</w:t>
      </w:r>
      <w:r w:rsidR="00CA0276" w:rsidRPr="009959C1">
        <w:t xml:space="preserve"> </w:t>
      </w:r>
      <w:r w:rsidR="00095081">
        <w:t xml:space="preserve">that </w:t>
      </w:r>
      <w:r w:rsidR="009959C1" w:rsidRPr="009959C1">
        <w:t>Nardi</w:t>
      </w:r>
      <w:r w:rsidR="009959C1" w:rsidRPr="001E781D">
        <w:rPr>
          <w:i/>
        </w:rPr>
        <w:t xml:space="preserve"> </w:t>
      </w:r>
      <w:r w:rsidR="009959C1">
        <w:t xml:space="preserve">(2011) </w:t>
      </w:r>
      <w:r w:rsidR="00095081">
        <w:t xml:space="preserve">notes is often lacking in </w:t>
      </w:r>
      <w:r w:rsidR="006C247D">
        <w:t>first year</w:t>
      </w:r>
      <w:r w:rsidR="00095081">
        <w:t xml:space="preserve"> </w:t>
      </w:r>
      <w:r w:rsidR="006C247D">
        <w:t>undergraduates</w:t>
      </w:r>
      <w:r w:rsidR="00095081">
        <w:t xml:space="preserve">. </w:t>
      </w:r>
    </w:p>
    <w:p w14:paraId="42D91FC8" w14:textId="39231E45" w:rsidR="009654A0" w:rsidRDefault="001B3350" w:rsidP="0058516E">
      <w:pPr>
        <w:pStyle w:val="ICMENormal"/>
      </w:pPr>
      <w:r>
        <w:t>Studies that focus on the student</w:t>
      </w:r>
      <w:r w:rsidR="009654A0" w:rsidRPr="00404650">
        <w:t xml:space="preserve"> experience in their first e</w:t>
      </w:r>
      <w:r w:rsidR="00CA3FA0">
        <w:t>ncounters with key concepts in abstract a</w:t>
      </w:r>
      <w:r w:rsidR="009654A0" w:rsidRPr="00404650">
        <w:t xml:space="preserve">lgebra </w:t>
      </w:r>
      <w:r>
        <w:t xml:space="preserve">describe a number of </w:t>
      </w:r>
      <w:r w:rsidRPr="00404650">
        <w:t>difficulties</w:t>
      </w:r>
      <w:r w:rsidR="009654A0" w:rsidRPr="00404650">
        <w:t>.</w:t>
      </w:r>
      <w:r w:rsidR="00594BE3">
        <w:t xml:space="preserve"> </w:t>
      </w:r>
      <w:r>
        <w:t xml:space="preserve">One identified by Hart (1994) is an </w:t>
      </w:r>
      <w:r w:rsidRPr="00404650">
        <w:t>over</w:t>
      </w:r>
      <w:r>
        <w:t>-</w:t>
      </w:r>
      <w:r w:rsidRPr="00404650">
        <w:t xml:space="preserve">reliance upon concrete examples of groups </w:t>
      </w:r>
      <w:r>
        <w:t xml:space="preserve">leading to a lack of </w:t>
      </w:r>
      <w:r w:rsidR="009654A0" w:rsidRPr="00404650">
        <w:t>skills in proof production</w:t>
      </w:r>
      <w:r>
        <w:t xml:space="preserve">. Another is the </w:t>
      </w:r>
      <w:r w:rsidRPr="00404650">
        <w:t xml:space="preserve">prerequisite </w:t>
      </w:r>
      <w:r>
        <w:t xml:space="preserve">of </w:t>
      </w:r>
      <w:r w:rsidRPr="00404650">
        <w:t>students’ understanding of the process-object duality of mathematical concepts</w:t>
      </w:r>
      <w:r>
        <w:t xml:space="preserve"> to understand</w:t>
      </w:r>
      <w:r w:rsidRPr="00404650">
        <w:t xml:space="preserve"> Group Theory</w:t>
      </w:r>
      <w:r>
        <w:t xml:space="preserve"> (</w:t>
      </w:r>
      <w:r w:rsidR="0016763B">
        <w:t>Asiala</w:t>
      </w:r>
      <w:r w:rsidRPr="00404650">
        <w:t xml:space="preserve"> et al</w:t>
      </w:r>
      <w:r>
        <w:t>., 1994), with c</w:t>
      </w:r>
      <w:r w:rsidR="00F3469A">
        <w:t xml:space="preserve">osets, </w:t>
      </w:r>
      <w:r w:rsidRPr="00404650">
        <w:t xml:space="preserve">normality </w:t>
      </w:r>
      <w:r w:rsidR="00F3469A">
        <w:t xml:space="preserve">and isomorphism </w:t>
      </w:r>
      <w:r w:rsidRPr="00404650">
        <w:t>identified as stumb</w:t>
      </w:r>
      <w:r>
        <w:t>ling blocks in the early stages.</w:t>
      </w:r>
      <w:r w:rsidR="00C02651">
        <w:t xml:space="preserve"> </w:t>
      </w:r>
    </w:p>
    <w:p w14:paraId="47DE5657" w14:textId="4F3D42DA" w:rsidR="009654A0" w:rsidRPr="00404650" w:rsidRDefault="00D3586F" w:rsidP="0058516E">
      <w:pPr>
        <w:pStyle w:val="ICMENormal"/>
      </w:pPr>
      <w:r>
        <w:t xml:space="preserve">One method employed to assist students </w:t>
      </w:r>
      <w:r w:rsidR="00117CBE">
        <w:t xml:space="preserve">with these </w:t>
      </w:r>
      <w:r>
        <w:t xml:space="preserve">is </w:t>
      </w:r>
      <w:r w:rsidR="00117CBE">
        <w:t>to</w:t>
      </w:r>
      <w:r w:rsidR="00AE78E6">
        <w:t xml:space="preserve"> </w:t>
      </w:r>
      <w:r w:rsidR="00117CBE">
        <w:t xml:space="preserve">reduce </w:t>
      </w:r>
      <w:r>
        <w:t>group theory’s</w:t>
      </w:r>
      <w:r w:rsidRPr="00404650">
        <w:t xml:space="preserve"> high levels of abstraction</w:t>
      </w:r>
      <w:r w:rsidR="009654A0" w:rsidRPr="00404650">
        <w:t xml:space="preserve"> </w:t>
      </w:r>
      <w:r>
        <w:t>(</w:t>
      </w:r>
      <w:r w:rsidR="00FB7607">
        <w:t xml:space="preserve">Hazzan, </w:t>
      </w:r>
      <w:r w:rsidR="009654A0" w:rsidRPr="00404650">
        <w:t>1999</w:t>
      </w:r>
      <w:r w:rsidR="00FB7607">
        <w:t>, 2001), for example</w:t>
      </w:r>
      <w:r w:rsidR="00AE78E6">
        <w:t>,</w:t>
      </w:r>
      <w:r w:rsidR="00FB7607">
        <w:t xml:space="preserve"> by </w:t>
      </w:r>
      <w:r w:rsidR="009654A0" w:rsidRPr="00404650">
        <w:t>ask</w:t>
      </w:r>
      <w:r w:rsidR="00FB7607">
        <w:t>ing</w:t>
      </w:r>
      <w:r w:rsidR="009654A0" w:rsidRPr="00404650">
        <w:t xml:space="preserve"> students to con</w:t>
      </w:r>
      <w:r w:rsidR="00117CBE">
        <w:t>struct the operation table for low order</w:t>
      </w:r>
      <w:r w:rsidR="009654A0" w:rsidRPr="00404650">
        <w:t xml:space="preserve"> group</w:t>
      </w:r>
      <w:r w:rsidR="00117CBE">
        <w:t>s</w:t>
      </w:r>
      <w:r w:rsidR="009654A0" w:rsidRPr="00404650">
        <w:t xml:space="preserve">. </w:t>
      </w:r>
      <w:r w:rsidR="00FB7607">
        <w:t>This follows the principles of Burn (1996,</w:t>
      </w:r>
      <w:r w:rsidR="00FB7607" w:rsidRPr="00404650">
        <w:t xml:space="preserve"> 1998</w:t>
      </w:r>
      <w:r w:rsidR="00FB7607">
        <w:t xml:space="preserve">) who </w:t>
      </w:r>
      <w:r w:rsidR="00FB7607" w:rsidRPr="00404650">
        <w:t>recommend</w:t>
      </w:r>
      <w:r w:rsidR="00FB7607">
        <w:t xml:space="preserve">ed </w:t>
      </w:r>
      <w:r w:rsidR="00FB7607" w:rsidRPr="00404650">
        <w:t>reve</w:t>
      </w:r>
      <w:r w:rsidR="00FB7607">
        <w:t>r</w:t>
      </w:r>
      <w:r w:rsidR="00AE78E6">
        <w:t xml:space="preserve">sing the order of presentation, </w:t>
      </w:r>
      <w:r w:rsidR="00FB7607">
        <w:t xml:space="preserve">using </w:t>
      </w:r>
      <w:r w:rsidR="00FB7607" w:rsidRPr="00404650">
        <w:t xml:space="preserve">examples and applications </w:t>
      </w:r>
      <w:r w:rsidR="00FB7607">
        <w:t>to stimulate</w:t>
      </w:r>
      <w:r w:rsidR="00FB7607" w:rsidRPr="00404650">
        <w:t xml:space="preserve"> the discovery of definitions and theorems</w:t>
      </w:r>
      <w:r w:rsidR="00FB7607">
        <w:t xml:space="preserve"> through </w:t>
      </w:r>
      <w:r w:rsidR="00FB7607" w:rsidRPr="00404650">
        <w:t>permutation and symmetry</w:t>
      </w:r>
      <w:r w:rsidR="00FB7607">
        <w:t xml:space="preserve">. This idea was </w:t>
      </w:r>
      <w:r w:rsidR="00AE78E6">
        <w:t>implemented</w:t>
      </w:r>
      <w:r w:rsidR="00FB7607">
        <w:t xml:space="preserve"> by Larsen (2009) in the form of </w:t>
      </w:r>
      <w:r w:rsidR="00FB7607" w:rsidRPr="00404650">
        <w:t xml:space="preserve">a series of tasks </w:t>
      </w:r>
      <w:r w:rsidR="00AE78E6">
        <w:t>exploring</w:t>
      </w:r>
      <w:r w:rsidR="00FB7607" w:rsidRPr="00404650">
        <w:t xml:space="preserve"> the symmet</w:t>
      </w:r>
      <w:r w:rsidR="00FB7607">
        <w:t>ries of an equilateral triangle, construct</w:t>
      </w:r>
      <w:r w:rsidR="00AE78E6">
        <w:t xml:space="preserve">ing </w:t>
      </w:r>
      <w:r w:rsidR="00FB7607" w:rsidRPr="00404650">
        <w:t xml:space="preserve">multiplication tables for groups of </w:t>
      </w:r>
      <w:r w:rsidR="00117CBE">
        <w:t>low</w:t>
      </w:r>
      <w:r w:rsidR="00FB7607" w:rsidRPr="00404650">
        <w:t xml:space="preserve"> order </w:t>
      </w:r>
      <w:r w:rsidR="00AE78E6">
        <w:t>and culminating</w:t>
      </w:r>
      <w:r w:rsidR="00FB7607" w:rsidRPr="00404650">
        <w:t xml:space="preserve"> in negotiating preliminary understandings of group structure</w:t>
      </w:r>
      <w:r w:rsidR="00FB7607">
        <w:t xml:space="preserve">, the </w:t>
      </w:r>
      <w:r w:rsidR="00FB7607" w:rsidRPr="00404650">
        <w:t>order of a group and isomorphism</w:t>
      </w:r>
      <w:r w:rsidR="00FB7607">
        <w:t>.</w:t>
      </w:r>
    </w:p>
    <w:p w14:paraId="0270ECAE" w14:textId="7B07D6DD" w:rsidR="009654A0" w:rsidRPr="00CA3FA0" w:rsidRDefault="00705B13" w:rsidP="0058516E">
      <w:pPr>
        <w:pStyle w:val="ICMENormal"/>
      </w:pPr>
      <w:r>
        <w:t>In an analysis</w:t>
      </w:r>
      <w:r w:rsidR="009654A0" w:rsidRPr="00404650">
        <w:t xml:space="preserve"> of student responses to introductory Group Theory problem sheets, Nardi (2000) identified students’:</w:t>
      </w:r>
      <w:r>
        <w:t xml:space="preserve"> </w:t>
      </w:r>
      <w:r w:rsidRPr="00404650">
        <w:t xml:space="preserve">difficulties with the static and operational duality within the concept of order of an element as well as the semantic abbreviation contained in </w:t>
      </w:r>
      <m:oMath>
        <m:d>
          <m:dPr>
            <m:begChr m:val="|"/>
            <m:endChr m:val="|"/>
            <m:ctrlPr>
              <w:rPr>
                <w:rFonts w:ascii="Cambria Math" w:hAnsi="Cambria Math"/>
                <w:i/>
              </w:rPr>
            </m:ctrlPr>
          </m:dPr>
          <m:e>
            <m:r>
              <w:rPr>
                <w:rFonts w:ascii="Cambria Math" w:hAnsi="Cambria Math"/>
              </w:rPr>
              <m:t>g</m:t>
            </m:r>
          </m:e>
        </m:d>
      </m:oMath>
      <w:r w:rsidRPr="00404650">
        <w:t>;</w:t>
      </w:r>
      <w:r>
        <w:t xml:space="preserve"> </w:t>
      </w:r>
      <w:r w:rsidR="009654A0" w:rsidRPr="00404650">
        <w:t>often problematic use of ‘times’ and ‘powers of’ in association with the group operation;</w:t>
      </w:r>
      <w:r>
        <w:t xml:space="preserve"> </w:t>
      </w:r>
      <w:r w:rsidRPr="00404650">
        <w:t>ambivalent use of geometric images as part of meaning bestowing processes with regard to the notion of coset;</w:t>
      </w:r>
      <w:r>
        <w:t xml:space="preserve"> and </w:t>
      </w:r>
      <w:r w:rsidR="00BB7DD3">
        <w:t>problematic conceptualis</w:t>
      </w:r>
      <w:r w:rsidRPr="00404650">
        <w:t>ation of multi-level abstractions embedded in the concept of isomorphism</w:t>
      </w:r>
      <w:r>
        <w:t>.</w:t>
      </w:r>
      <w:r w:rsidR="00547327">
        <w:t xml:space="preserve"> </w:t>
      </w:r>
      <w:r w:rsidR="009654A0" w:rsidRPr="00404650">
        <w:t xml:space="preserve">The duality </w:t>
      </w:r>
      <w:r w:rsidR="00167D55">
        <w:t>underlying the concept of group</w:t>
      </w:r>
      <w:r w:rsidR="009654A0" w:rsidRPr="00404650">
        <w:t xml:space="preserve"> and </w:t>
      </w:r>
      <w:r w:rsidR="00167D55">
        <w:t>its</w:t>
      </w:r>
      <w:r w:rsidR="005821A9">
        <w:t xml:space="preserve"> binary operation</w:t>
      </w:r>
      <w:r w:rsidR="009654A0" w:rsidRPr="00404650">
        <w:t xml:space="preserve">, were </w:t>
      </w:r>
      <w:r w:rsidR="00547327">
        <w:t xml:space="preserve">also </w:t>
      </w:r>
      <w:r w:rsidR="009654A0" w:rsidRPr="00404650">
        <w:t>discussed by Iannone and Nardi (2002)</w:t>
      </w:r>
      <w:r w:rsidR="005821A9">
        <w:t>,</w:t>
      </w:r>
      <w:r w:rsidR="009654A0" w:rsidRPr="00404650">
        <w:t xml:space="preserve"> who offered evidence of students’ tendency </w:t>
      </w:r>
      <w:r w:rsidR="00CA3FA0">
        <w:t xml:space="preserve">to: </w:t>
      </w:r>
      <w:r w:rsidR="009654A0" w:rsidRPr="00404650">
        <w:t>consider a group as a special kind of set, often ignoring the binary operation that is fundamental to its entity</w:t>
      </w:r>
      <w:r w:rsidR="00CA3FA0">
        <w:t xml:space="preserve">; </w:t>
      </w:r>
      <w:r w:rsidR="009654A0" w:rsidRPr="00404650">
        <w:t xml:space="preserve">consider the </w:t>
      </w:r>
      <w:r w:rsidR="00BB7DD3">
        <w:t xml:space="preserve">group </w:t>
      </w:r>
      <w:r w:rsidR="009654A0" w:rsidRPr="00404650">
        <w:t>axioms as properties of the group elements rather than the binary operation</w:t>
      </w:r>
      <w:r w:rsidR="00CA3FA0">
        <w:t xml:space="preserve">; </w:t>
      </w:r>
      <w:r w:rsidR="00785C36">
        <w:t xml:space="preserve">and </w:t>
      </w:r>
      <w:r w:rsidR="009654A0" w:rsidRPr="00404650">
        <w:t>omit checking axiom</w:t>
      </w:r>
      <w:r w:rsidR="00BB7DD3">
        <w:t>s that they perceive as obvious, such as associativity</w:t>
      </w:r>
      <w:r w:rsidR="00CA3FA0">
        <w:t xml:space="preserve">. </w:t>
      </w:r>
      <w:r w:rsidR="00785C36">
        <w:t>In addition</w:t>
      </w:r>
      <w:r w:rsidR="009654A0" w:rsidRPr="00404650">
        <w:t xml:space="preserve">, </w:t>
      </w:r>
      <w:r w:rsidR="00CA3FA0">
        <w:t xml:space="preserve">research by </w:t>
      </w:r>
      <w:r w:rsidR="009654A0" w:rsidRPr="00404650">
        <w:t xml:space="preserve">Ioannou, </w:t>
      </w:r>
      <w:r w:rsidR="00CA3FA0">
        <w:t xml:space="preserve">(see </w:t>
      </w:r>
      <w:r w:rsidR="0016763B">
        <w:t xml:space="preserve">Ioannou &amp; Nardi, </w:t>
      </w:r>
      <w:r w:rsidR="009569A4">
        <w:t xml:space="preserve">2008, </w:t>
      </w:r>
      <w:r w:rsidR="0016763B">
        <w:t>2009</w:t>
      </w:r>
      <w:r w:rsidR="00CA3FA0" w:rsidRPr="00404650">
        <w:t>; 2010; Ioannou &amp; Iannone, 2011)</w:t>
      </w:r>
      <w:r w:rsidR="00CA3FA0">
        <w:t xml:space="preserve"> considers students’ first encounter with abstract algebra, </w:t>
      </w:r>
      <w:r w:rsidR="009654A0" w:rsidRPr="00404650">
        <w:t>focus</w:t>
      </w:r>
      <w:r w:rsidR="00CA3FA0">
        <w:t>ing</w:t>
      </w:r>
      <w:r w:rsidR="009654A0" w:rsidRPr="00404650">
        <w:t xml:space="preserve"> </w:t>
      </w:r>
      <w:r w:rsidR="00CA3FA0">
        <w:t>on</w:t>
      </w:r>
      <w:r w:rsidR="009654A0" w:rsidRPr="00404650">
        <w:t xml:space="preserve"> the Subgroup Test, symmetries of a cube, equivalence relations, </w:t>
      </w:r>
      <w:r w:rsidR="00CA3FA0">
        <w:t xml:space="preserve">and </w:t>
      </w:r>
      <w:r w:rsidR="009654A0" w:rsidRPr="00404650">
        <w:t>employing the not</w:t>
      </w:r>
      <w:r w:rsidR="009654A0">
        <w:t>ions of kernel</w:t>
      </w:r>
      <w:r w:rsidR="009654A0" w:rsidRPr="00404650">
        <w:t xml:space="preserve"> and image in the First Isomorphism Theorem. </w:t>
      </w:r>
      <w:r w:rsidR="0061725A">
        <w:t>Provisional conclusions are</w:t>
      </w:r>
      <w:r w:rsidR="009654A0" w:rsidRPr="00404650">
        <w:t xml:space="preserve"> that students’ overall problematic experience of the transi</w:t>
      </w:r>
      <w:r w:rsidR="00344A51">
        <w:t>tion to abstract a</w:t>
      </w:r>
      <w:r w:rsidR="009654A0" w:rsidRPr="00404650">
        <w:t xml:space="preserve">lgebra is characterised by the strong interplay between strictly conceptual matters, affective issues and </w:t>
      </w:r>
      <w:r w:rsidR="00785C36">
        <w:t>those</w:t>
      </w:r>
      <w:r w:rsidR="00785C36" w:rsidRPr="00404650">
        <w:t xml:space="preserve"> </w:t>
      </w:r>
      <w:r w:rsidR="009654A0" w:rsidRPr="00404650">
        <w:t xml:space="preserve">germane to the wider study skills and coping strategies that students arrive at university with. </w:t>
      </w:r>
    </w:p>
    <w:p w14:paraId="4D4F6846" w14:textId="77777777" w:rsidR="009654A0" w:rsidRPr="00E47EAA" w:rsidRDefault="009654A0" w:rsidP="00E302CD">
      <w:pPr>
        <w:pStyle w:val="ICMEHeading3"/>
      </w:pPr>
      <w:r w:rsidRPr="00E47EAA">
        <w:t>Linear Algebra</w:t>
      </w:r>
    </w:p>
    <w:p w14:paraId="10A0A75E" w14:textId="77777777" w:rsidR="00A74C83" w:rsidRDefault="009654A0" w:rsidP="0058516E">
      <w:pPr>
        <w:pStyle w:val="ICMENormal"/>
      </w:pPr>
      <w:r w:rsidRPr="00F00371">
        <w:t>A siz</w:t>
      </w:r>
      <w:r>
        <w:t>e</w:t>
      </w:r>
      <w:r w:rsidRPr="00F00371">
        <w:t xml:space="preserve">able amount of research in linear algebra has documented students’ </w:t>
      </w:r>
      <w:r w:rsidR="00C662D0">
        <w:t xml:space="preserve">transition </w:t>
      </w:r>
      <w:r w:rsidRPr="00F00371">
        <w:t xml:space="preserve">difficulties, particularly as these relate to students’ intuitive or geometric ways of reasoning and the formal mathematics of linear algebra (Dogan-Dunlap, 2010; Gueudet-Chartier, 2004; </w:t>
      </w:r>
      <w:r w:rsidRPr="00F00371">
        <w:lastRenderedPageBreak/>
        <w:t>Harel, 1990). Related to this work, Hillel (2000) constructed a theoretical framework for understanding student reasoning in linear algebra</w:t>
      </w:r>
      <w:r w:rsidR="00F261F9">
        <w:t xml:space="preserve">, </w:t>
      </w:r>
      <w:r w:rsidRPr="00F00371">
        <w:t>identif</w:t>
      </w:r>
      <w:r w:rsidR="00F261F9">
        <w:t>ying</w:t>
      </w:r>
      <w:r w:rsidRPr="00F00371">
        <w:t xml:space="preserve"> </w:t>
      </w:r>
      <w:r w:rsidR="00907E84" w:rsidRPr="00F00371">
        <w:t xml:space="preserve">geometric, algebraic, and abstract </w:t>
      </w:r>
      <w:r w:rsidR="00907E84">
        <w:t>modes of description</w:t>
      </w:r>
      <w:r w:rsidR="00731C6F">
        <w:t>,</w:t>
      </w:r>
      <w:r w:rsidRPr="00F00371">
        <w:t xml:space="preserve"> </w:t>
      </w:r>
      <w:r w:rsidR="00731C6F">
        <w:t>with the limited opportunities for generalisation</w:t>
      </w:r>
      <w:r w:rsidRPr="00F00371">
        <w:t xml:space="preserve"> </w:t>
      </w:r>
      <w:r w:rsidR="00731C6F">
        <w:t>in the first two</w:t>
      </w:r>
      <w:r w:rsidRPr="00F00371">
        <w:t xml:space="preserve"> </w:t>
      </w:r>
      <w:r w:rsidR="00731C6F">
        <w:t>a potential obstacle</w:t>
      </w:r>
      <w:r w:rsidRPr="00F00371">
        <w:t xml:space="preserve"> for u</w:t>
      </w:r>
      <w:r w:rsidR="00731C6F">
        <w:t xml:space="preserve">nderstanding the abstract mode. </w:t>
      </w:r>
      <w:r w:rsidR="00DC780E">
        <w:t xml:space="preserve">According to </w:t>
      </w:r>
      <w:r w:rsidR="00DC780E" w:rsidRPr="00F00371">
        <w:t xml:space="preserve">Dorier, Robert, Robinet and Rogalski (2000a) </w:t>
      </w:r>
      <w:r w:rsidR="00173BE7">
        <w:t xml:space="preserve">difficulties with </w:t>
      </w:r>
      <w:r w:rsidR="00173BE7" w:rsidRPr="00F00371">
        <w:t>formal</w:t>
      </w:r>
      <w:r w:rsidR="00173BE7">
        <w:t>, abstract</w:t>
      </w:r>
      <w:r w:rsidR="00173BE7" w:rsidRPr="00F00371">
        <w:t xml:space="preserve"> aspects of linear algebra </w:t>
      </w:r>
      <w:r w:rsidR="00173BE7">
        <w:t>arise from a</w:t>
      </w:r>
      <w:r w:rsidR="00DC780E" w:rsidRPr="00F00371">
        <w:t xml:space="preserve"> strong emphasis on algebraic concepts in linear algebra </w:t>
      </w:r>
      <w:r w:rsidR="00173BE7">
        <w:t xml:space="preserve">that </w:t>
      </w:r>
      <w:r w:rsidR="00DC780E" w:rsidRPr="00F00371">
        <w:t xml:space="preserve">leaves little room for set theory and elementary logic. </w:t>
      </w:r>
      <w:r w:rsidR="00A74C83">
        <w:t xml:space="preserve">The approach of </w:t>
      </w:r>
      <w:r w:rsidR="00DC780E" w:rsidRPr="00F00371">
        <w:t>Dorier, Robert, Robinet, and Rogalski (2000b) and Rogalski (2000) to dealing with these problems involves teaching linear algebra as a long term strategy, having students revisit problems in a variety of different settings—ge</w:t>
      </w:r>
      <w:r w:rsidR="00173BE7">
        <w:t>ometric, algebraic, and formal.</w:t>
      </w:r>
      <w:r w:rsidR="00E400C2">
        <w:t xml:space="preserve"> </w:t>
      </w:r>
    </w:p>
    <w:p w14:paraId="45AC3229" w14:textId="584A7969" w:rsidR="00DC780E" w:rsidRDefault="00E400C2" w:rsidP="0058516E">
      <w:pPr>
        <w:pStyle w:val="ICMENormal"/>
      </w:pPr>
      <w:r>
        <w:t xml:space="preserve">The relationship between linear algebra and geometry were at the core of the ten years of research by </w:t>
      </w:r>
      <w:r w:rsidR="0016763B">
        <w:t>Gueudet (Gueudet, 2004, 2008</w:t>
      </w:r>
      <w:r>
        <w:t xml:space="preserve">) that identified specific views on students’ difficulties, in the secondary-tertiary transition in linear algebra, resulting from different theoretical perspectives. The epistemological view leads to a focus on linear algebra as an axiomatic theory, which is very abstract for the students. Focusing on reasoning modes leads her to identify the need, in linear algebra, for various forms of flexibility, in particular flexibility between dimensions. </w:t>
      </w:r>
      <w:r w:rsidR="00607DD3">
        <w:t xml:space="preserve">Also working at the geometry-formalism boundary </w:t>
      </w:r>
      <w:r w:rsidRPr="00F00371">
        <w:t>Portnoy</w:t>
      </w:r>
      <w:r w:rsidR="00607DD3">
        <w:t xml:space="preserve">, Grundmeier and Graham (2006) </w:t>
      </w:r>
      <w:r w:rsidRPr="00F00371">
        <w:t xml:space="preserve">demonstrated that </w:t>
      </w:r>
      <w:r w:rsidR="00607DD3" w:rsidRPr="00F00371">
        <w:t xml:space="preserve">pre-service teachers </w:t>
      </w:r>
      <w:r w:rsidRPr="00F00371">
        <w:t xml:space="preserve">who had been utilizing transformations as processes that transformed geometric objects into other geometric objects had difficulty writing proofs </w:t>
      </w:r>
      <w:r>
        <w:t>involving</w:t>
      </w:r>
      <w:r w:rsidR="00607DD3">
        <w:t xml:space="preserve"> linear transformations.</w:t>
      </w:r>
      <w:r w:rsidRPr="00F00371">
        <w:t xml:space="preserve"> </w:t>
      </w:r>
      <w:r w:rsidR="00A74C83">
        <w:t>A</w:t>
      </w:r>
      <w:r w:rsidR="00607DD3">
        <w:t xml:space="preserve">lthough </w:t>
      </w:r>
      <w:r w:rsidRPr="00F00371">
        <w:t xml:space="preserve">understanding of transformation contributed to </w:t>
      </w:r>
      <w:r>
        <w:t>understanding of the concept in general, they may not have developed the</w:t>
      </w:r>
      <w:r w:rsidRPr="00F00371">
        <w:t xml:space="preserve"> necessary object understandin</w:t>
      </w:r>
      <w:r>
        <w:t xml:space="preserve">g for writing correct proofs. </w:t>
      </w:r>
      <w:r w:rsidR="00E85A87" w:rsidRPr="00F00371">
        <w:t>Britton and Henderson (2009) demonstrated students</w:t>
      </w:r>
      <w:r>
        <w:t>’</w:t>
      </w:r>
      <w:r w:rsidR="00E85A87" w:rsidRPr="00F00371">
        <w:t xml:space="preserve"> </w:t>
      </w:r>
      <w:r w:rsidR="00E85A87">
        <w:t xml:space="preserve">difficulty </w:t>
      </w:r>
      <w:r w:rsidR="00A74C83">
        <w:t xml:space="preserve">in </w:t>
      </w:r>
      <w:r w:rsidR="00E85A87" w:rsidRPr="00F00371">
        <w:t xml:space="preserve">moving between a formal understanding of subspace and the algebraic mode in which a problem </w:t>
      </w:r>
      <w:r w:rsidR="00E85A87">
        <w:t xml:space="preserve">on closure </w:t>
      </w:r>
      <w:r w:rsidR="00A74C83">
        <w:t>was stated. These authors argue</w:t>
      </w:r>
      <w:r w:rsidR="00E85A87" w:rsidRPr="00F00371">
        <w:t xml:space="preserve"> that </w:t>
      </w:r>
      <w:r>
        <w:t>such</w:t>
      </w:r>
      <w:r w:rsidR="00A74C83">
        <w:t xml:space="preserve"> difficulties stem</w:t>
      </w:r>
      <w:r w:rsidR="00E85A87" w:rsidRPr="00F00371">
        <w:t xml:space="preserve"> from an insufficient understanding of the various symbols used in the questions and in the formal definition of subspace.</w:t>
      </w:r>
    </w:p>
    <w:p w14:paraId="0AD7FD9E" w14:textId="28BEC213" w:rsidR="00537815" w:rsidRPr="004428F0" w:rsidRDefault="00720093" w:rsidP="0058516E">
      <w:pPr>
        <w:pStyle w:val="ICMENormal"/>
      </w:pPr>
      <w:r>
        <w:t xml:space="preserve">Employing a framework using </w:t>
      </w:r>
      <w:r w:rsidRPr="00F00371">
        <w:t xml:space="preserve">APOS theory in conjunction with </w:t>
      </w:r>
      <w:r>
        <w:t>TWM,</w:t>
      </w:r>
      <w:r w:rsidR="009654A0" w:rsidRPr="00F00371">
        <w:t xml:space="preserve"> Stewart and Thomas (</w:t>
      </w:r>
      <w:r>
        <w:t xml:space="preserve">2007, </w:t>
      </w:r>
      <w:r w:rsidR="009654A0" w:rsidRPr="00F00371">
        <w:t>2009</w:t>
      </w:r>
      <w:r w:rsidR="009654A0">
        <w:t xml:space="preserve">, </w:t>
      </w:r>
      <w:r>
        <w:t>2010, and</w:t>
      </w:r>
      <w:r w:rsidR="00F97A21">
        <w:t xml:space="preserve"> </w:t>
      </w:r>
      <w:r w:rsidR="00B31921">
        <w:t xml:space="preserve">Thomas &amp; Stewart, </w:t>
      </w:r>
      <w:r w:rsidR="009654A0">
        <w:t>2011</w:t>
      </w:r>
      <w:r w:rsidR="009654A0" w:rsidRPr="00F00371">
        <w:t xml:space="preserve">) </w:t>
      </w:r>
      <w:r>
        <w:t>analysed student</w:t>
      </w:r>
      <w:r w:rsidR="009654A0" w:rsidRPr="00F00371">
        <w:t xml:space="preserve"> understanding of various concepts in linear algebra, including linear independence and dependence, </w:t>
      </w:r>
      <w:r w:rsidR="0042013E">
        <w:t xml:space="preserve">eigenvectors, </w:t>
      </w:r>
      <w:r w:rsidR="009654A0" w:rsidRPr="00F00371">
        <w:t xml:space="preserve">span and basis.  </w:t>
      </w:r>
      <w:r>
        <w:t>The</w:t>
      </w:r>
      <w:r w:rsidR="009654A0" w:rsidRPr="00F00371">
        <w:t xml:space="preserve"> authors found that </w:t>
      </w:r>
      <w:r>
        <w:t xml:space="preserve">generally </w:t>
      </w:r>
      <w:r w:rsidR="00A74C83">
        <w:t>students do</w:t>
      </w:r>
      <w:r w:rsidR="009654A0" w:rsidRPr="00F00371">
        <w:t xml:space="preserve"> not think of these concepts from an embodied standpoint, but instead </w:t>
      </w:r>
      <w:r w:rsidR="00A74C83">
        <w:t>rely</w:t>
      </w:r>
      <w:r w:rsidR="009654A0" w:rsidRPr="00F00371">
        <w:t xml:space="preserve"> upon </w:t>
      </w:r>
      <w:r>
        <w:t>a symbolic, process-</w:t>
      </w:r>
      <w:r w:rsidRPr="004428F0">
        <w:t xml:space="preserve">oriented matrix manipulation </w:t>
      </w:r>
      <w:r w:rsidR="009654A0" w:rsidRPr="00F00371">
        <w:t xml:space="preserve">way of reasoning. </w:t>
      </w:r>
      <w:r>
        <w:t>However, employing</w:t>
      </w:r>
      <w:r w:rsidR="009654A0" w:rsidRPr="004428F0">
        <w:t xml:space="preserve"> a course </w:t>
      </w:r>
      <w:r>
        <w:t>that</w:t>
      </w:r>
      <w:r w:rsidR="009654A0" w:rsidRPr="004428F0">
        <w:t xml:space="preserve"> introduced </w:t>
      </w:r>
      <w:r>
        <w:t xml:space="preserve">students </w:t>
      </w:r>
      <w:r w:rsidR="009654A0" w:rsidRPr="004428F0">
        <w:t>to embodied, geometric representations in linear algebra along with the formal and the symbolic</w:t>
      </w:r>
      <w:r>
        <w:t xml:space="preserve"> appeared to enrich student</w:t>
      </w:r>
      <w:r w:rsidR="009654A0" w:rsidRPr="004428F0">
        <w:t xml:space="preserve"> understanding of the concepts and allowed them to bridge between </w:t>
      </w:r>
      <w:r>
        <w:t>them</w:t>
      </w:r>
      <w:r w:rsidR="009654A0" w:rsidRPr="004428F0">
        <w:t xml:space="preserve"> more effectively than </w:t>
      </w:r>
      <w:r w:rsidR="00A74C83">
        <w:t>with</w:t>
      </w:r>
      <w:r w:rsidR="009654A0" w:rsidRPr="004428F0">
        <w:t xml:space="preserve"> just symbolic processes. </w:t>
      </w:r>
      <w:r>
        <w:t>A</w:t>
      </w:r>
      <w:r w:rsidR="00F82C33">
        <w:t xml:space="preserve">n emphasis on working with </w:t>
      </w:r>
      <w:r>
        <w:t xml:space="preserve">symbolic </w:t>
      </w:r>
      <w:r w:rsidR="00F82C33">
        <w:t>expressions, lo</w:t>
      </w:r>
      <w:r w:rsidR="00F82C33" w:rsidRPr="00482ED4">
        <w:t>sing sight of the mathematical objects that the symbols represent</w:t>
      </w:r>
      <w:r w:rsidR="00F82C33">
        <w:t xml:space="preserve">, </w:t>
      </w:r>
      <w:r>
        <w:t>can give</w:t>
      </w:r>
      <w:r w:rsidR="00F82C33">
        <w:t xml:space="preserve"> rise to t</w:t>
      </w:r>
      <w:r w:rsidR="00F82C33" w:rsidRPr="00482ED4">
        <w:t xml:space="preserve">he formalism obstacle </w:t>
      </w:r>
      <w:r w:rsidR="005E6E74">
        <w:t>(Corriveau, 2009), since</w:t>
      </w:r>
      <w:r w:rsidR="00F82C33">
        <w:t xml:space="preserve"> a</w:t>
      </w:r>
      <w:r w:rsidR="00F82C33" w:rsidRPr="00482ED4">
        <w:t xml:space="preserve"> new algebra </w:t>
      </w:r>
      <w:r w:rsidR="005E6E74">
        <w:t xml:space="preserve">requires </w:t>
      </w:r>
      <w:r w:rsidR="00F82C33">
        <w:t>students to accept delegation of</w:t>
      </w:r>
      <w:r w:rsidR="00F82C33" w:rsidRPr="00482ED4">
        <w:t xml:space="preserve"> parts of the control of validity and meaning to this alg</w:t>
      </w:r>
      <w:r w:rsidR="00F82C33">
        <w:t>ebra, leading to a loss of</w:t>
      </w:r>
      <w:r w:rsidR="00F82C33" w:rsidRPr="00482ED4">
        <w:t xml:space="preserve"> control and meaning</w:t>
      </w:r>
      <w:r w:rsidR="00F82C33">
        <w:t>.</w:t>
      </w:r>
    </w:p>
    <w:p w14:paraId="4AEFBCA6" w14:textId="60AAD445" w:rsidR="009654A0" w:rsidRDefault="00E85A87" w:rsidP="0058516E">
      <w:pPr>
        <w:pStyle w:val="ICMENormal"/>
      </w:pPr>
      <w:r>
        <w:t>Employing</w:t>
      </w:r>
      <w:r w:rsidR="00537815" w:rsidRPr="00F00371">
        <w:t xml:space="preserve"> computers </w:t>
      </w:r>
      <w:r>
        <w:t xml:space="preserve">in attempts </w:t>
      </w:r>
      <w:r w:rsidR="009654A0" w:rsidRPr="00F00371">
        <w:t>to address students’ difficulties in bridging the many representational forms and the variety of concepts p</w:t>
      </w:r>
      <w:r w:rsidR="00537815">
        <w:t>resent in linear algebra</w:t>
      </w:r>
      <w:r>
        <w:t xml:space="preserve"> </w:t>
      </w:r>
      <w:r w:rsidR="00A74C83">
        <w:t>goes back to</w:t>
      </w:r>
      <w:r w:rsidR="007E7B32">
        <w:t xml:space="preserve"> the work of</w:t>
      </w:r>
      <w:r w:rsidR="009654A0" w:rsidRPr="00F00371">
        <w:t xml:space="preserve"> </w:t>
      </w:r>
      <w:r w:rsidR="007E7B32" w:rsidRPr="00F00371">
        <w:t>Sier</w:t>
      </w:r>
      <w:r w:rsidR="0016763B">
        <w:t>pinska, Dreyfus, and Hillel (</w:t>
      </w:r>
      <w:r w:rsidR="007E7B32">
        <w:t>1999</w:t>
      </w:r>
      <w:r w:rsidR="007E7B32" w:rsidRPr="00F00371">
        <w:t xml:space="preserve">) </w:t>
      </w:r>
      <w:r w:rsidR="007E7B32">
        <w:t xml:space="preserve">and more recently Berry, Lapp and Nyman </w:t>
      </w:r>
      <w:r w:rsidR="007E7B32">
        <w:lastRenderedPageBreak/>
        <w:t>(</w:t>
      </w:r>
      <w:r w:rsidR="009654A0" w:rsidRPr="00F00371">
        <w:t>2008</w:t>
      </w:r>
      <w:r w:rsidR="007E7B32">
        <w:t>) and Dogan-Dunlap and Hall (2004)</w:t>
      </w:r>
      <w:r>
        <w:t xml:space="preserve"> have used this approach</w:t>
      </w:r>
      <w:r w:rsidR="007E7B32">
        <w:t xml:space="preserve">. </w:t>
      </w:r>
      <w:r w:rsidR="0016763B" w:rsidRPr="00F00371">
        <w:t>Sierp</w:t>
      </w:r>
      <w:r w:rsidR="0016763B">
        <w:t>inska, Dreyfus and Hillel (1999)</w:t>
      </w:r>
      <w:r w:rsidR="00B61806">
        <w:t xml:space="preserve"> found that the use of </w:t>
      </w:r>
      <w:r w:rsidR="009654A0" w:rsidRPr="00F00371">
        <w:t>computer environment tasks enabled students to develop a dynamic understanding of transformation, but hindered their ability to understand transformation as relating a general vector to its image under the transformation</w:t>
      </w:r>
      <w:r w:rsidR="00B61806">
        <w:t xml:space="preserve"> and that</w:t>
      </w:r>
      <w:r w:rsidR="009654A0" w:rsidRPr="00F00371">
        <w:t xml:space="preserve"> </w:t>
      </w:r>
      <w:r w:rsidR="00B61806" w:rsidRPr="00F00371">
        <w:t>students made determinations about a transformation’s linear</w:t>
      </w:r>
      <w:r w:rsidR="0016763B">
        <w:t xml:space="preserve">ity based upon a single example. </w:t>
      </w:r>
      <w:r w:rsidR="009654A0" w:rsidRPr="00F00371">
        <w:t xml:space="preserve">Recently, Meel and Hern (2005) </w:t>
      </w:r>
      <w:r w:rsidR="002836A8">
        <w:t>found that</w:t>
      </w:r>
      <w:r w:rsidR="009654A0" w:rsidRPr="00F00371">
        <w:t xml:space="preserve"> </w:t>
      </w:r>
      <w:r w:rsidR="00D77F5D">
        <w:t xml:space="preserve">using </w:t>
      </w:r>
      <w:r w:rsidR="009654A0" w:rsidRPr="00F00371">
        <w:t xml:space="preserve">interactive applets </w:t>
      </w:r>
      <w:r w:rsidR="002836A8">
        <w:t>helped</w:t>
      </w:r>
      <w:r w:rsidR="009654A0" w:rsidRPr="00F00371">
        <w:t xml:space="preserve"> students </w:t>
      </w:r>
      <w:r w:rsidR="002836A8">
        <w:t>recognis</w:t>
      </w:r>
      <w:r w:rsidR="002836A8" w:rsidRPr="00F00371">
        <w:t xml:space="preserve">e misinterpretation or mis-generalization </w:t>
      </w:r>
      <w:r w:rsidR="002836A8">
        <w:t>through examination of</w:t>
      </w:r>
      <w:r w:rsidR="009654A0" w:rsidRPr="00F00371">
        <w:t xml:space="preserve"> additional examples</w:t>
      </w:r>
      <w:r w:rsidR="002836A8">
        <w:t xml:space="preserve">. </w:t>
      </w:r>
    </w:p>
    <w:p w14:paraId="7794A800" w14:textId="66ED2B84" w:rsidR="00E85A87" w:rsidRDefault="00E85A87" w:rsidP="0058516E">
      <w:pPr>
        <w:pStyle w:val="ICMENormal"/>
      </w:pPr>
      <w:r>
        <w:t xml:space="preserve">Another aspect </w:t>
      </w:r>
      <w:r w:rsidR="00A74C83">
        <w:t xml:space="preserve">that has been </w:t>
      </w:r>
      <w:r>
        <w:t xml:space="preserve">investigated </w:t>
      </w:r>
      <w:r w:rsidR="00A74C83">
        <w:t xml:space="preserve">is </w:t>
      </w:r>
      <w:r>
        <w:t>students’ intuitive thinking in linear algebra. W</w:t>
      </w:r>
      <w:r w:rsidRPr="00F00371">
        <w:t xml:space="preserve">orking with Models and Modeling (Lesh &amp; Doerr, 2003) and APOS </w:t>
      </w:r>
      <w:r w:rsidR="00A74C83">
        <w:t xml:space="preserve">frameworks </w:t>
      </w:r>
      <w:r w:rsidRPr="00F00371">
        <w:t xml:space="preserve">Possani, </w:t>
      </w:r>
      <w:r w:rsidRPr="00F00371">
        <w:rPr>
          <w:noProof/>
        </w:rPr>
        <w:t>Trigueros, Preciado, and Lozano</w:t>
      </w:r>
      <w:r w:rsidRPr="00F00371" w:rsidDel="0063438C">
        <w:t xml:space="preserve"> </w:t>
      </w:r>
      <w:r w:rsidRPr="00F00371">
        <w:t xml:space="preserve">(2010) </w:t>
      </w:r>
      <w:r>
        <w:t>leveraged</w:t>
      </w:r>
      <w:r w:rsidRPr="00F00371">
        <w:t xml:space="preserve"> students’ intuitive ways of thinking</w:t>
      </w:r>
      <w:r w:rsidR="00A74C83">
        <w:t>. They did this</w:t>
      </w:r>
      <w:r w:rsidRPr="00F00371">
        <w:t xml:space="preserve"> </w:t>
      </w:r>
      <w:r>
        <w:t>by utilising</w:t>
      </w:r>
      <w:r w:rsidRPr="00F00371">
        <w:t xml:space="preserve"> a genetic composition of linear independence and dependence and systems of equations in order to aid in the creation of a task sequence</w:t>
      </w:r>
      <w:r>
        <w:t xml:space="preserve"> that</w:t>
      </w:r>
      <w:r w:rsidRPr="00F00371">
        <w:t xml:space="preserve"> present</w:t>
      </w:r>
      <w:r>
        <w:t>ed</w:t>
      </w:r>
      <w:r w:rsidRPr="00F00371">
        <w:t xml:space="preserve"> students with a problem </w:t>
      </w:r>
      <w:r>
        <w:t>to</w:t>
      </w:r>
      <w:r w:rsidRPr="00F00371">
        <w:t xml:space="preserve"> mathemati</w:t>
      </w:r>
      <w:r>
        <w:t>s</w:t>
      </w:r>
      <w:r w:rsidRPr="00F00371">
        <w:t>e and then use to understand line</w:t>
      </w:r>
      <w:r>
        <w:t>ar independence and dependence.</w:t>
      </w:r>
      <w:r w:rsidRPr="00F00371">
        <w:t xml:space="preserve"> </w:t>
      </w:r>
      <w:r w:rsidR="00A74C83">
        <w:t>Student use of</w:t>
      </w:r>
      <w:r w:rsidR="00A74C83" w:rsidRPr="00F00371">
        <w:t xml:space="preserve"> different modes of representation in making sense of the formal notion of subspace</w:t>
      </w:r>
      <w:r w:rsidR="00A74C83">
        <w:t xml:space="preserve"> </w:t>
      </w:r>
      <w:r w:rsidR="00170203">
        <w:t>was analys</w:t>
      </w:r>
      <w:r w:rsidR="00170203" w:rsidRPr="00F00371">
        <w:t xml:space="preserve">ed </w:t>
      </w:r>
      <w:r w:rsidR="00170203">
        <w:t xml:space="preserve">by </w:t>
      </w:r>
      <w:r w:rsidRPr="00F00371">
        <w:t>Wawro, Sweeney, and Rabin (</w:t>
      </w:r>
      <w:r>
        <w:t>2011)</w:t>
      </w:r>
      <w:r w:rsidR="00170203">
        <w:t>,</w:t>
      </w:r>
      <w:r>
        <w:t xml:space="preserve"> and</w:t>
      </w:r>
      <w:r w:rsidRPr="00F00371">
        <w:t xml:space="preserve"> </w:t>
      </w:r>
      <w:r w:rsidR="00170203">
        <w:t xml:space="preserve">their </w:t>
      </w:r>
      <w:r w:rsidRPr="00F00371">
        <w:t>results suggest that in generating explanations for the definition, students rely on their intuit</w:t>
      </w:r>
      <w:r>
        <w:t>ive understandings of subspace</w:t>
      </w:r>
      <w:r w:rsidR="00170203">
        <w:t xml:space="preserve">, which </w:t>
      </w:r>
      <w:r w:rsidRPr="00F00371">
        <w:t>can be problematic</w:t>
      </w:r>
      <w:r>
        <w:t xml:space="preserve"> </w:t>
      </w:r>
      <w:r w:rsidRPr="00F00371">
        <w:t xml:space="preserve">but can also be very powerful in developing a more comprehensive understanding of subspace. </w:t>
      </w:r>
    </w:p>
    <w:p w14:paraId="2A07A401" w14:textId="7B1E257F" w:rsidR="009654A0" w:rsidRDefault="007F071A" w:rsidP="0058516E">
      <w:pPr>
        <w:pStyle w:val="ICMENormal"/>
      </w:pPr>
      <w:r>
        <w:t>S</w:t>
      </w:r>
      <w:r w:rsidR="00C20A10">
        <w:t>ome</w:t>
      </w:r>
      <w:r w:rsidR="009654A0" w:rsidRPr="00F00371">
        <w:t xml:space="preserve"> research teams have been spearheading innovations in the teaching and learning of linear algebra. Cooley, Martin, Vidakovic, and Loch (2007) developed a linear algebra course that combines the teaching of linear algebra with learning </w:t>
      </w:r>
      <w:r w:rsidR="0081544C">
        <w:t xml:space="preserve">about </w:t>
      </w:r>
      <w:r w:rsidR="009654A0" w:rsidRPr="00F00371">
        <w:t>APOS</w:t>
      </w:r>
      <w:r w:rsidR="0081544C">
        <w:t xml:space="preserve"> theory</w:t>
      </w:r>
      <w:r w:rsidR="009654A0" w:rsidRPr="00F00371">
        <w:t xml:space="preserve">. By focusing on a theory for how mathematical knowledge is generated, students were made aware of their own thought processes and could then enrich their understanding of linear algebra accordingly. In the United States, another group of researchers </w:t>
      </w:r>
      <w:r w:rsidR="0012198C">
        <w:t xml:space="preserve">has </w:t>
      </w:r>
      <w:r w:rsidR="00582EFF">
        <w:t>used</w:t>
      </w:r>
      <w:r w:rsidR="009654A0" w:rsidRPr="00F00371">
        <w:t xml:space="preserve"> a design research approach (Kelly, Lesh, &amp; Baek, 2008), simultaneously creating instructional sequences and examining students</w:t>
      </w:r>
      <w:r w:rsidR="0081544C">
        <w:t>’</w:t>
      </w:r>
      <w:r w:rsidR="009654A0" w:rsidRPr="00F00371">
        <w:t xml:space="preserve"> reasoning about key concepts such as eigenvectors and eigenvalues, linear independence, linear dependence, span, </w:t>
      </w:r>
      <w:r w:rsidR="009654A0">
        <w:t xml:space="preserve">and </w:t>
      </w:r>
      <w:r w:rsidR="009654A0" w:rsidRPr="00F00371">
        <w:t>linear transformation (Henderson, Rasmussen, Zandieh, Wawro, &amp; Sweeney, 2010; Larson, Zandieh, &amp; Rasmussen, 2008</w:t>
      </w:r>
      <w:r w:rsidR="009654A0">
        <w:t>; Sweeney, 2011</w:t>
      </w:r>
      <w:r w:rsidR="009654A0" w:rsidRPr="00F00371">
        <w:t xml:space="preserve">). </w:t>
      </w:r>
      <w:r w:rsidR="009654A0" w:rsidRPr="00F00371">
        <w:rPr>
          <w:rFonts w:cs="TimesNewRomanPSMT"/>
        </w:rPr>
        <w:t xml:space="preserve">They </w:t>
      </w:r>
      <w:r w:rsidR="009654A0">
        <w:t xml:space="preserve">argue </w:t>
      </w:r>
      <w:r w:rsidR="00582EFF">
        <w:t xml:space="preserve">that </w:t>
      </w:r>
      <w:r w:rsidR="009654A0">
        <w:t xml:space="preserve">knowledge of student thinking prior to formal instruction </w:t>
      </w:r>
      <w:r w:rsidR="009654A0" w:rsidRPr="00F00371">
        <w:rPr>
          <w:bCs/>
        </w:rPr>
        <w:t xml:space="preserve">is </w:t>
      </w:r>
      <w:r w:rsidR="009654A0" w:rsidRPr="00F00371">
        <w:t xml:space="preserve">essential for developing thoughtful </w:t>
      </w:r>
      <w:r w:rsidR="009654A0">
        <w:t>teaching</w:t>
      </w:r>
      <w:r w:rsidR="009654A0" w:rsidRPr="00F00371">
        <w:t xml:space="preserve"> that builds on</w:t>
      </w:r>
      <w:r w:rsidR="009654A0">
        <w:t xml:space="preserve"> and extends</w:t>
      </w:r>
      <w:r w:rsidR="009654A0" w:rsidRPr="00F00371">
        <w:t xml:space="preserve"> student thinking. </w:t>
      </w:r>
      <w:r w:rsidR="00582EFF">
        <w:t>In</w:t>
      </w:r>
      <w:r>
        <w:t xml:space="preserve"> a study on</w:t>
      </w:r>
      <w:r w:rsidR="009654A0" w:rsidRPr="00F00371">
        <w:t xml:space="preserve"> tasks for developing student reasoning </w:t>
      </w:r>
      <w:r w:rsidR="00582EFF">
        <w:t>they report</w:t>
      </w:r>
      <w:r w:rsidR="009654A0" w:rsidRPr="001B4BEE">
        <w:t xml:space="preserve"> </w:t>
      </w:r>
      <w:r w:rsidR="00F526CB">
        <w:t>(</w:t>
      </w:r>
      <w:r w:rsidR="00F526CB" w:rsidRPr="001B4BEE">
        <w:t xml:space="preserve">Wawro, Zandieh, Sweeney, Larson, </w:t>
      </w:r>
      <w:r w:rsidR="00F526CB">
        <w:t xml:space="preserve">&amp; Rasmussen, </w:t>
      </w:r>
      <w:r w:rsidR="00F526CB" w:rsidRPr="001B4BEE">
        <w:t xml:space="preserve">2011) </w:t>
      </w:r>
      <w:r w:rsidR="009654A0" w:rsidRPr="001B4BEE">
        <w:t xml:space="preserve">student reasoning </w:t>
      </w:r>
      <w:r w:rsidR="00F526CB">
        <w:t>during reinvention of</w:t>
      </w:r>
      <w:r w:rsidR="009654A0" w:rsidRPr="001B4BEE">
        <w:t xml:space="preserve"> the concepts of span and linear independence</w:t>
      </w:r>
      <w:r w:rsidR="00F526CB">
        <w:t>,</w:t>
      </w:r>
      <w:r w:rsidR="009654A0" w:rsidRPr="001B4BEE">
        <w:t xml:space="preserve"> guided by an innovative instructional sequence </w:t>
      </w:r>
      <w:r w:rsidR="00582EFF">
        <w:t>beginning</w:t>
      </w:r>
      <w:r w:rsidR="009654A0">
        <w:t xml:space="preserve"> with vector equations </w:t>
      </w:r>
      <w:r w:rsidR="00582EFF">
        <w:t>rather than</w:t>
      </w:r>
      <w:r w:rsidR="009654A0">
        <w:t xml:space="preserve"> systems of equations</w:t>
      </w:r>
      <w:r w:rsidR="00582EFF">
        <w:t>.</w:t>
      </w:r>
      <w:r w:rsidR="0012198C">
        <w:t xml:space="preserve"> </w:t>
      </w:r>
      <w:r w:rsidR="00582EFF">
        <w:t>This</w:t>
      </w:r>
      <w:r w:rsidR="009654A0">
        <w:t xml:space="preserve"> </w:t>
      </w:r>
      <w:r w:rsidR="009654A0" w:rsidRPr="001B4BEE">
        <w:t>successfully leveraged students’ intuitive imagery of vectors as movement to develop formal definitions</w:t>
      </w:r>
      <w:r w:rsidR="00F526CB">
        <w:t>. This</w:t>
      </w:r>
      <w:r w:rsidR="00582EFF">
        <w:t xml:space="preserve"> ch</w:t>
      </w:r>
      <w:r w:rsidR="00F526CB">
        <w:t>allenges</w:t>
      </w:r>
      <w:r w:rsidR="00582EFF">
        <w:t xml:space="preserve"> the view</w:t>
      </w:r>
      <w:r w:rsidR="009654A0" w:rsidRPr="001B4BEE">
        <w:t xml:space="preserve"> that students’ intuitive ways of reasoning </w:t>
      </w:r>
      <w:r w:rsidR="0012198C">
        <w:t>are</w:t>
      </w:r>
      <w:r w:rsidR="009654A0" w:rsidRPr="001B4BEE">
        <w:t xml:space="preserve"> an obstacle to </w:t>
      </w:r>
      <w:r w:rsidR="0081544C">
        <w:t>induction into</w:t>
      </w:r>
      <w:r w:rsidR="0081544C" w:rsidRPr="001B4BEE">
        <w:t xml:space="preserve"> </w:t>
      </w:r>
      <w:r w:rsidR="009654A0" w:rsidRPr="001B4BEE">
        <w:t>formal mathematics.</w:t>
      </w:r>
    </w:p>
    <w:p w14:paraId="28761E4C" w14:textId="1D2307AB" w:rsidR="009654A0" w:rsidRPr="00B03D5A" w:rsidRDefault="009654A0" w:rsidP="00E302CD">
      <w:pPr>
        <w:pStyle w:val="ICMEHeading3"/>
      </w:pPr>
      <w:r w:rsidRPr="00B03D5A">
        <w:t>Logic</w:t>
      </w:r>
      <w:r w:rsidR="002C00D6">
        <w:t xml:space="preserve"> and </w:t>
      </w:r>
      <w:r w:rsidR="002C00D6" w:rsidRPr="00482ED4">
        <w:t>Proof</w:t>
      </w:r>
    </w:p>
    <w:p w14:paraId="625A3870" w14:textId="39DD462D" w:rsidR="009654A0" w:rsidRPr="00007378" w:rsidRDefault="007029C1" w:rsidP="0058516E">
      <w:pPr>
        <w:pStyle w:val="ICMENormal"/>
      </w:pPr>
      <w:r>
        <w:t>Some</w:t>
      </w:r>
      <w:r w:rsidR="000E7E28">
        <w:t xml:space="preserve"> well-recognis</w:t>
      </w:r>
      <w:r w:rsidR="000E7E28" w:rsidRPr="00A70173">
        <w:t xml:space="preserve">ed </w:t>
      </w:r>
      <w:r w:rsidR="000E7E28">
        <w:t xml:space="preserve">differences in the transition to university mathematics </w:t>
      </w:r>
      <w:r>
        <w:t>include</w:t>
      </w:r>
      <w:r w:rsidR="000E7E28">
        <w:t xml:space="preserve"> the requirement for</w:t>
      </w:r>
      <w:r w:rsidR="00685DB6">
        <w:t>:</w:t>
      </w:r>
      <w:r w:rsidR="000E7E28">
        <w:t xml:space="preserve"> abstraction and </w:t>
      </w:r>
      <w:r w:rsidR="000E7E28" w:rsidRPr="001E781D">
        <w:t>logical deductive reasoning</w:t>
      </w:r>
      <w:r w:rsidR="00685DB6">
        <w:t xml:space="preserve"> (Engelbrecht, 2010);</w:t>
      </w:r>
      <w:r w:rsidR="000E7E28">
        <w:t xml:space="preserve"> rigour (Leviatan, 2008)</w:t>
      </w:r>
      <w:r w:rsidR="00685DB6">
        <w:t>;</w:t>
      </w:r>
      <w:r w:rsidR="000E7E28">
        <w:t xml:space="preserve"> </w:t>
      </w:r>
      <w:r w:rsidR="00685DB6">
        <w:t>a</w:t>
      </w:r>
      <w:r w:rsidR="000E7E28">
        <w:t xml:space="preserve"> context of </w:t>
      </w:r>
      <w:r w:rsidR="000E7E28" w:rsidRPr="005458C4">
        <w:t>mathematical theory</w:t>
      </w:r>
      <w:r w:rsidR="00F91327">
        <w:t xml:space="preserve"> (De Vleeschouwer, 2010</w:t>
      </w:r>
      <w:r w:rsidR="000E7E28">
        <w:t>)</w:t>
      </w:r>
      <w:r w:rsidR="00685DB6">
        <w:t>;</w:t>
      </w:r>
      <w:r w:rsidR="00F114EA">
        <w:t xml:space="preserve"> and proof</w:t>
      </w:r>
      <w:r>
        <w:t xml:space="preserve">. </w:t>
      </w:r>
      <w:r w:rsidR="00F077DD">
        <w:t xml:space="preserve">A </w:t>
      </w:r>
      <w:r w:rsidR="00F077DD">
        <w:lastRenderedPageBreak/>
        <w:t>number of French researchers</w:t>
      </w:r>
      <w:r w:rsidR="009654A0" w:rsidRPr="00A70173">
        <w:t xml:space="preserve"> </w:t>
      </w:r>
      <w:r w:rsidR="00F077DD">
        <w:t xml:space="preserve">(e.g. Durand-Guerrier, </w:t>
      </w:r>
      <w:r w:rsidR="009654A0" w:rsidRPr="00A70173">
        <w:t>2003</w:t>
      </w:r>
      <w:r w:rsidR="00F077DD">
        <w:t xml:space="preserve">; Deloustal-Jorrand, </w:t>
      </w:r>
      <w:r w:rsidR="00805D34">
        <w:t>2004</w:t>
      </w:r>
      <w:r w:rsidR="00F077DD">
        <w:t xml:space="preserve">; </w:t>
      </w:r>
      <w:r w:rsidR="009654A0" w:rsidRPr="00A70173">
        <w:t xml:space="preserve">Rogalski </w:t>
      </w:r>
      <w:r w:rsidR="00F077DD">
        <w:t xml:space="preserve">&amp; Rogalski, </w:t>
      </w:r>
      <w:r w:rsidR="009654A0" w:rsidRPr="00A70173">
        <w:t xml:space="preserve">2004) </w:t>
      </w:r>
      <w:r w:rsidR="00F077DD">
        <w:t xml:space="preserve">have </w:t>
      </w:r>
      <w:r w:rsidR="009654A0" w:rsidRPr="00A70173">
        <w:t>point</w:t>
      </w:r>
      <w:r w:rsidR="00F077DD">
        <w:t>ed</w:t>
      </w:r>
      <w:r w:rsidR="009654A0" w:rsidRPr="00A70173">
        <w:t xml:space="preserve"> out the importance of taking in account quantification matters in order to analyse difficulties related to implication, and more ge</w:t>
      </w:r>
      <w:r w:rsidR="00CD1E3B">
        <w:t>nerally mathematical reasoning.</w:t>
      </w:r>
      <w:r w:rsidR="009654A0" w:rsidRPr="00A70173">
        <w:t xml:space="preserve"> </w:t>
      </w:r>
      <w:r w:rsidR="00F077DD">
        <w:t>An example highlighted by</w:t>
      </w:r>
      <w:r w:rsidR="009654A0" w:rsidRPr="00A70173">
        <w:t xml:space="preserve"> Chellougui (2009) </w:t>
      </w:r>
      <w:r w:rsidR="00F077DD">
        <w:t>working with</w:t>
      </w:r>
      <w:r w:rsidR="009654A0" w:rsidRPr="00A70173">
        <w:t xml:space="preserve"> </w:t>
      </w:r>
      <w:r w:rsidR="00C87517">
        <w:t>new</w:t>
      </w:r>
      <w:r w:rsidR="009654A0" w:rsidRPr="00A70173">
        <w:t xml:space="preserve"> university students </w:t>
      </w:r>
      <w:r w:rsidR="00F077DD">
        <w:t xml:space="preserve">involved </w:t>
      </w:r>
      <w:r w:rsidR="009654A0" w:rsidRPr="00A70173">
        <w:t>didactic phenomena related to the alternation of the two types of quantifiers and</w:t>
      </w:r>
      <w:r w:rsidR="00F077DD">
        <w:t xml:space="preserve"> </w:t>
      </w:r>
      <w:r w:rsidR="009654A0" w:rsidRPr="00A70173">
        <w:t xml:space="preserve">difficulties in mobilizing the definition of the objects and the structures, </w:t>
      </w:r>
      <w:r w:rsidR="00F077DD">
        <w:t>illustrating</w:t>
      </w:r>
      <w:r w:rsidR="009654A0" w:rsidRPr="00A70173">
        <w:t xml:space="preserve"> a m</w:t>
      </w:r>
      <w:r w:rsidR="00F077DD">
        <w:t>ajor problem in the conceptualis</w:t>
      </w:r>
      <w:r w:rsidR="009654A0" w:rsidRPr="00A70173">
        <w:t xml:space="preserve">ation process. Durand-Guerrier and Arsac (2005) </w:t>
      </w:r>
      <w:r w:rsidR="00C87517">
        <w:t>highlight</w:t>
      </w:r>
      <w:r w:rsidR="009654A0" w:rsidRPr="00A70173">
        <w:t xml:space="preserve"> the fact that a </w:t>
      </w:r>
      <w:r w:rsidR="00F861ED">
        <w:t>major</w:t>
      </w:r>
      <w:r w:rsidR="009654A0" w:rsidRPr="00A70173">
        <w:t xml:space="preserve"> challenge for </w:t>
      </w:r>
      <w:r w:rsidR="00031661">
        <w:t>learners</w:t>
      </w:r>
      <w:r w:rsidR="009654A0" w:rsidRPr="00A70173">
        <w:t xml:space="preserve"> is to develop </w:t>
      </w:r>
      <w:r w:rsidR="00F861ED">
        <w:t xml:space="preserve">simultaneously </w:t>
      </w:r>
      <w:r w:rsidR="009654A0" w:rsidRPr="00A70173">
        <w:t xml:space="preserve">mathematical knowledge and logical skills, </w:t>
      </w:r>
      <w:r w:rsidR="00805D34">
        <w:t>which</w:t>
      </w:r>
      <w:r w:rsidR="009654A0" w:rsidRPr="00A70173">
        <w:t xml:space="preserve"> are closely intertwined. </w:t>
      </w:r>
      <w:r w:rsidR="00BB6B61">
        <w:t>A</w:t>
      </w:r>
      <w:r w:rsidR="009654A0" w:rsidRPr="00A70173">
        <w:t xml:space="preserve"> semantic and dialogic perspective </w:t>
      </w:r>
      <w:r w:rsidR="00F91327">
        <w:t>introduced by Barrier (2009</w:t>
      </w:r>
      <w:r w:rsidR="00BB6B61">
        <w:t>)</w:t>
      </w:r>
      <w:r w:rsidR="009654A0" w:rsidRPr="00A70173">
        <w:t xml:space="preserve"> </w:t>
      </w:r>
      <w:r w:rsidR="005C30D2">
        <w:t>highlight</w:t>
      </w:r>
      <w:r w:rsidR="00BB6B61">
        <w:t>s</w:t>
      </w:r>
      <w:r w:rsidR="009654A0" w:rsidRPr="00A70173">
        <w:t xml:space="preserve"> the importance of </w:t>
      </w:r>
      <w:r w:rsidR="005C30D2">
        <w:t xml:space="preserve">moving </w:t>
      </w:r>
      <w:r w:rsidR="009654A0" w:rsidRPr="00A70173">
        <w:t>back and forth between syntax and semantics in the proving process in advanced mathematics (e.g. Blossier, Barrier</w:t>
      </w:r>
      <w:r w:rsidR="005C30D2">
        <w:t xml:space="preserve"> &amp; Durand-Guerrier, 2009). </w:t>
      </w:r>
      <w:r w:rsidR="00874650">
        <w:t>Such</w:t>
      </w:r>
      <w:r w:rsidR="00BB6B61">
        <w:t xml:space="preserve"> research </w:t>
      </w:r>
      <w:r w:rsidR="00874650">
        <w:t xml:space="preserve">suggests a need to develop </w:t>
      </w:r>
      <w:r w:rsidR="0081544C" w:rsidRPr="00A70173">
        <w:t>program</w:t>
      </w:r>
      <w:r w:rsidR="0081544C">
        <w:t>me</w:t>
      </w:r>
      <w:r w:rsidR="0081544C" w:rsidRPr="00A70173">
        <w:t xml:space="preserve">s allowing </w:t>
      </w:r>
      <w:r w:rsidR="0081544C">
        <w:t>new</w:t>
      </w:r>
      <w:r w:rsidR="0081544C" w:rsidRPr="00A70173">
        <w:t xml:space="preserve"> </w:t>
      </w:r>
      <w:r w:rsidR="0081544C">
        <w:t>university</w:t>
      </w:r>
      <w:r w:rsidR="0081544C" w:rsidRPr="00A70173">
        <w:t xml:space="preserve"> students to master the logical competenc</w:t>
      </w:r>
      <w:r w:rsidR="006E6832">
        <w:t>i</w:t>
      </w:r>
      <w:r w:rsidR="0081544C" w:rsidRPr="00A70173">
        <w:t xml:space="preserve">es required </w:t>
      </w:r>
      <w:r w:rsidR="0081544C">
        <w:t>for</w:t>
      </w:r>
      <w:r w:rsidR="0081544C" w:rsidRPr="00A70173">
        <w:t xml:space="preserve"> the learning of advanced mathematics</w:t>
      </w:r>
      <w:r w:rsidR="00A47C10">
        <w:t xml:space="preserve">, possibly </w:t>
      </w:r>
      <w:r w:rsidR="00CC636A">
        <w:t>similar</w:t>
      </w:r>
      <w:r w:rsidR="0081544C">
        <w:t xml:space="preserve"> to second language learning </w:t>
      </w:r>
      <w:r w:rsidR="00A47C10">
        <w:t>(</w:t>
      </w:r>
      <w:r w:rsidR="0081544C" w:rsidRPr="00A70173">
        <w:t>Durand</w:t>
      </w:r>
      <w:r w:rsidR="00A47C10">
        <w:t xml:space="preserve">-Guerrier &amp; Njomgang Ngansop, </w:t>
      </w:r>
      <w:r w:rsidR="0081544C" w:rsidRPr="00A70173">
        <w:t>2011)</w:t>
      </w:r>
      <w:r w:rsidR="00031661">
        <w:t>.</w:t>
      </w:r>
    </w:p>
    <w:p w14:paraId="63EA1A64" w14:textId="3164FDAA" w:rsidR="00EE69F7" w:rsidRDefault="006E6832" w:rsidP="0058516E">
      <w:pPr>
        <w:pStyle w:val="ICMENormal"/>
      </w:pPr>
      <w:r w:rsidRPr="00482ED4">
        <w:t>A previous ICME survey report on proof (</w:t>
      </w:r>
      <w:r w:rsidRPr="00483291">
        <w:t>Mariotti et al., 2004)</w:t>
      </w:r>
      <w:r w:rsidRPr="00482ED4">
        <w:t xml:space="preserve"> raised a number of questions that relate to transition issues</w:t>
      </w:r>
      <w:r w:rsidR="000720CF">
        <w:t xml:space="preserve"> and suggested that a </w:t>
      </w:r>
      <w:r w:rsidR="009654A0" w:rsidRPr="00482ED4">
        <w:t xml:space="preserve">key difference between school and university is that schools focus on </w:t>
      </w:r>
      <w:r w:rsidR="009654A0" w:rsidRPr="00482ED4">
        <w:rPr>
          <w:color w:val="211D1E"/>
        </w:rPr>
        <w:t>argumentation while univer</w:t>
      </w:r>
      <w:r w:rsidR="000720CF">
        <w:rPr>
          <w:color w:val="211D1E"/>
        </w:rPr>
        <w:t>sities consider deductive proof</w:t>
      </w:r>
      <w:r w:rsidR="009654A0" w:rsidRPr="00482ED4">
        <w:rPr>
          <w:color w:val="211D1E"/>
        </w:rPr>
        <w:t xml:space="preserve">. </w:t>
      </w:r>
      <w:r w:rsidR="00685122" w:rsidRPr="00482ED4">
        <w:t xml:space="preserve">However, </w:t>
      </w:r>
      <w:r w:rsidR="00685122">
        <w:t xml:space="preserve">while many of their ideas have been taken up by researchers </w:t>
      </w:r>
      <w:r w:rsidR="00685122" w:rsidRPr="00482ED4">
        <w:t>there appear to have been few studies directly addressing proof as an issue of transition</w:t>
      </w:r>
      <w:r w:rsidR="00685122">
        <w:t xml:space="preserve"> (at the time of writing the book </w:t>
      </w:r>
      <w:r w:rsidR="00685122" w:rsidRPr="00EA0BFA">
        <w:rPr>
          <w:rStyle w:val="nfase"/>
        </w:rPr>
        <w:t>Proof and Proving in Mathematics Education</w:t>
      </w:r>
      <w:r w:rsidR="00685122" w:rsidRPr="00EA0BFA">
        <w:t xml:space="preserve">: </w:t>
      </w:r>
      <w:r w:rsidR="00685122" w:rsidRPr="00EA0BFA">
        <w:rPr>
          <w:i/>
        </w:rPr>
        <w:t>The 19</w:t>
      </w:r>
      <w:r w:rsidR="00685122" w:rsidRPr="00EA0BFA">
        <w:rPr>
          <w:i/>
          <w:vertAlign w:val="superscript"/>
        </w:rPr>
        <w:t>th</w:t>
      </w:r>
      <w:r w:rsidR="00685122" w:rsidRPr="00EA0BFA">
        <w:rPr>
          <w:i/>
        </w:rPr>
        <w:t xml:space="preserve"> ICMI study</w:t>
      </w:r>
      <w:r w:rsidR="00685122">
        <w:t>–</w:t>
      </w:r>
      <w:r w:rsidR="00685122" w:rsidRPr="000146B2">
        <w:t>Hanna &amp; de Villiers</w:t>
      </w:r>
      <w:r w:rsidR="007029C1" w:rsidRPr="000146B2">
        <w:t>, 2012,</w:t>
      </w:r>
      <w:r w:rsidR="00685122" w:rsidRPr="000146B2">
        <w:t xml:space="preserve"> was</w:t>
      </w:r>
      <w:r w:rsidR="00685122">
        <w:t xml:space="preserve"> still in </w:t>
      </w:r>
      <w:r w:rsidR="0034080C">
        <w:t>press</w:t>
      </w:r>
      <w:r w:rsidR="00685122">
        <w:t>)</w:t>
      </w:r>
      <w:r w:rsidR="00685122" w:rsidRPr="00482ED4">
        <w:t>.</w:t>
      </w:r>
      <w:r w:rsidR="00C80EF8">
        <w:t xml:space="preserve"> In spite of this</w:t>
      </w:r>
      <w:r w:rsidR="00C80EF8" w:rsidRPr="00482ED4">
        <w:t xml:space="preserve"> the research </w:t>
      </w:r>
      <w:r w:rsidR="00C80EF8">
        <w:t>conducted</w:t>
      </w:r>
      <w:r w:rsidR="00C80EF8" w:rsidRPr="00482ED4">
        <w:t xml:space="preserve"> point</w:t>
      </w:r>
      <w:r w:rsidR="00C80EF8">
        <w:t>s</w:t>
      </w:r>
      <w:r w:rsidR="00C80EF8" w:rsidRPr="00482ED4">
        <w:t xml:space="preserve"> out some key differences between approaches to proof in school and in university and makes suggestions for pedagogical approaches that might assist in the transition. </w:t>
      </w:r>
      <w:r w:rsidR="00C80EF8">
        <w:t>These aspects are considered here.</w:t>
      </w:r>
    </w:p>
    <w:p w14:paraId="05555788" w14:textId="5FE148F6" w:rsidR="009654A0" w:rsidRPr="0068576D" w:rsidRDefault="00226CD2" w:rsidP="0058516E">
      <w:pPr>
        <w:pStyle w:val="ICMENormal"/>
        <w:rPr>
          <w:lang w:eastAsia="ja-JP"/>
        </w:rPr>
      </w:pPr>
      <w:r>
        <w:t>One recommendation</w:t>
      </w:r>
      <w:r w:rsidR="009654A0" w:rsidRPr="00482ED4">
        <w:t xml:space="preserve"> for pedagogical change that would have im</w:t>
      </w:r>
      <w:r w:rsidR="0047580F">
        <w:t xml:space="preserve">plications for transition is </w:t>
      </w:r>
      <w:r>
        <w:t xml:space="preserve">the </w:t>
      </w:r>
      <w:r w:rsidRPr="00482ED4">
        <w:t xml:space="preserve">need for more explicit teaching of proof, both in school and university </w:t>
      </w:r>
      <w:r>
        <w:t xml:space="preserve">(Balacheff, 2008; </w:t>
      </w:r>
      <w:r w:rsidR="00B656B1">
        <w:t xml:space="preserve">Hanna &amp; de Villiers, 2008; </w:t>
      </w:r>
      <w:r w:rsidR="009654A0" w:rsidRPr="00482ED4">
        <w:rPr>
          <w:color w:val="141314"/>
        </w:rPr>
        <w:t>Hemmi, 2008)</w:t>
      </w:r>
      <w:r w:rsidR="002F3537">
        <w:t xml:space="preserve">, with some </w:t>
      </w:r>
      <w:r w:rsidR="009654A0" w:rsidRPr="00482ED4">
        <w:t xml:space="preserve">(e.g., </w:t>
      </w:r>
      <w:r w:rsidR="009654A0" w:rsidRPr="00482ED4">
        <w:rPr>
          <w:color w:val="141314"/>
        </w:rPr>
        <w:t xml:space="preserve">Stylianides &amp; Stylianides, 2007; Hanna &amp; Barbeau, 2008) </w:t>
      </w:r>
      <w:r w:rsidR="002F3537">
        <w:t>arguing for it</w:t>
      </w:r>
      <w:r w:rsidR="002F3537" w:rsidRPr="00482ED4">
        <w:t xml:space="preserve"> </w:t>
      </w:r>
      <w:r w:rsidR="009654A0" w:rsidRPr="00482ED4">
        <w:rPr>
          <w:color w:val="141314"/>
        </w:rPr>
        <w:t xml:space="preserve">to be made a central topic in </w:t>
      </w:r>
      <w:r w:rsidR="007834AF">
        <w:rPr>
          <w:color w:val="141314"/>
        </w:rPr>
        <w:t>both</w:t>
      </w:r>
      <w:r w:rsidR="009654A0" w:rsidRPr="00482ED4">
        <w:rPr>
          <w:color w:val="141314"/>
        </w:rPr>
        <w:t xml:space="preserve"> institution</w:t>
      </w:r>
      <w:r w:rsidR="007834AF">
        <w:rPr>
          <w:color w:val="141314"/>
        </w:rPr>
        <w:t>s</w:t>
      </w:r>
      <w:r w:rsidR="009654A0" w:rsidRPr="00482ED4">
        <w:rPr>
          <w:color w:val="141314"/>
        </w:rPr>
        <w:t xml:space="preserve">. </w:t>
      </w:r>
      <w:r w:rsidR="00833258">
        <w:rPr>
          <w:color w:val="141314"/>
        </w:rPr>
        <w:t xml:space="preserve">One possible </w:t>
      </w:r>
      <w:r w:rsidR="00833258" w:rsidRPr="0058516E">
        <w:t>intro</w:t>
      </w:r>
      <w:r w:rsidR="00833258">
        <w:t xml:space="preserve">duction to proof in schools, </w:t>
      </w:r>
      <w:r w:rsidR="00833258" w:rsidRPr="0058516E">
        <w:t>su</w:t>
      </w:r>
      <w:r w:rsidR="00833258">
        <w:t xml:space="preserve">ggested by Harel (2008) </w:t>
      </w:r>
      <w:r w:rsidR="0064114E">
        <w:t xml:space="preserve">and </w:t>
      </w:r>
      <w:r w:rsidR="0064114E" w:rsidRPr="0058516E">
        <w:rPr>
          <w:color w:val="131313"/>
        </w:rPr>
        <w:t>Palla, Potari and Spyrou</w:t>
      </w:r>
      <w:r w:rsidR="0064114E" w:rsidRPr="0058516E">
        <w:t xml:space="preserve"> (2011) </w:t>
      </w:r>
      <w:r w:rsidR="00833258">
        <w:t>involves</w:t>
      </w:r>
      <w:r w:rsidR="00833258" w:rsidRPr="0058516E">
        <w:t xml:space="preserve"> proof by mathematical induction. </w:t>
      </w:r>
      <w:r w:rsidR="0040596D">
        <w:t>However, t</w:t>
      </w:r>
      <w:r w:rsidR="00833258">
        <w:t xml:space="preserve">his </w:t>
      </w:r>
      <w:r w:rsidR="0040596D">
        <w:t xml:space="preserve">topic </w:t>
      </w:r>
      <w:r w:rsidR="00833258">
        <w:t>should not be</w:t>
      </w:r>
      <w:r w:rsidR="00833258" w:rsidRPr="0058516E">
        <w:t xml:space="preserve"> considered too quickly</w:t>
      </w:r>
      <w:r w:rsidR="00833258">
        <w:t xml:space="preserve">. Rather a slower approach, stressing </w:t>
      </w:r>
      <w:r w:rsidR="00833258">
        <w:rPr>
          <w:lang w:eastAsia="ja-JP"/>
        </w:rPr>
        <w:t xml:space="preserve">and valuing both </w:t>
      </w:r>
      <w:r w:rsidR="00833258" w:rsidRPr="00482ED4">
        <w:rPr>
          <w:lang w:eastAsia="ja-JP"/>
        </w:rPr>
        <w:t>ways of understanding and ways of thinking</w:t>
      </w:r>
      <w:r w:rsidR="0040596D">
        <w:rPr>
          <w:lang w:eastAsia="ja-JP"/>
        </w:rPr>
        <w:t xml:space="preserve"> that the</w:t>
      </w:r>
      <w:r w:rsidR="00833258" w:rsidRPr="00482ED4">
        <w:t xml:space="preserve"> </w:t>
      </w:r>
      <w:r w:rsidR="00833258">
        <w:t>DNR</w:t>
      </w:r>
      <w:r w:rsidR="00833258" w:rsidRPr="00482ED4">
        <w:t xml:space="preserve"> </w:t>
      </w:r>
      <w:r w:rsidR="00833258">
        <w:t xml:space="preserve">framework describes (Harel, </w:t>
      </w:r>
      <w:r w:rsidR="00F91327">
        <w:t>2008</w:t>
      </w:r>
      <w:r w:rsidR="00833258" w:rsidRPr="00482ED4">
        <w:t>)</w:t>
      </w:r>
      <w:r w:rsidR="00833258">
        <w:t>,</w:t>
      </w:r>
      <w:r w:rsidR="00C5791B">
        <w:t xml:space="preserve"> and</w:t>
      </w:r>
      <w:r w:rsidR="00833258">
        <w:t xml:space="preserve"> distinguishing between </w:t>
      </w:r>
      <w:r w:rsidR="00833258" w:rsidRPr="00482ED4">
        <w:rPr>
          <w:lang w:eastAsia="ja-JP"/>
        </w:rPr>
        <w:t xml:space="preserve">proof schemes </w:t>
      </w:r>
      <w:r w:rsidR="00833258">
        <w:rPr>
          <w:lang w:eastAsia="ja-JP"/>
        </w:rPr>
        <w:t>and</w:t>
      </w:r>
      <w:r w:rsidR="00833258" w:rsidRPr="00482ED4">
        <w:rPr>
          <w:lang w:eastAsia="ja-JP"/>
        </w:rPr>
        <w:t xml:space="preserve"> proofs</w:t>
      </w:r>
      <w:r w:rsidR="0040596D">
        <w:rPr>
          <w:lang w:eastAsia="ja-JP"/>
        </w:rPr>
        <w:t>,</w:t>
      </w:r>
      <w:r w:rsidR="00833258">
        <w:rPr>
          <w:lang w:eastAsia="ja-JP"/>
        </w:rPr>
        <w:t xml:space="preserve"> </w:t>
      </w:r>
      <w:r w:rsidR="00833258" w:rsidRPr="0058516E">
        <w:t>is necessary f</w:t>
      </w:r>
      <w:r w:rsidR="00833258">
        <w:t>or understanding</w:t>
      </w:r>
      <w:r w:rsidR="00833258" w:rsidRPr="0058516E">
        <w:t>.</w:t>
      </w:r>
      <w:r w:rsidR="0068576D">
        <w:t xml:space="preserve"> </w:t>
      </w:r>
      <w:r w:rsidR="0068576D" w:rsidRPr="00C15913">
        <w:rPr>
          <w:lang w:eastAsia="ja-JP"/>
        </w:rPr>
        <w:t>According to So</w:t>
      </w:r>
      <w:r w:rsidR="0068576D">
        <w:rPr>
          <w:lang w:eastAsia="ja-JP"/>
        </w:rPr>
        <w:t>lomon (2006</w:t>
      </w:r>
      <w:r w:rsidR="0068576D" w:rsidRPr="00C15913">
        <w:rPr>
          <w:lang w:eastAsia="ja-JP"/>
        </w:rPr>
        <w:t>)</w:t>
      </w:r>
      <w:r w:rsidR="0068576D">
        <w:rPr>
          <w:lang w:eastAsia="ja-JP"/>
        </w:rPr>
        <w:t>,</w:t>
      </w:r>
      <w:r w:rsidR="0068576D" w:rsidRPr="00C15913">
        <w:rPr>
          <w:lang w:eastAsia="ja-JP"/>
        </w:rPr>
        <w:t xml:space="preserve"> enabling students to access academic proof </w:t>
      </w:r>
      <w:r w:rsidR="0068576D">
        <w:rPr>
          <w:lang w:eastAsia="ja-JP"/>
        </w:rPr>
        <w:t>processes</w:t>
      </w:r>
      <w:r w:rsidR="0068576D" w:rsidRPr="00C15913">
        <w:rPr>
          <w:lang w:eastAsia="ja-JP"/>
        </w:rPr>
        <w:t xml:space="preserve"> in the transition from pre-university to undergraduate mathematics is a question of understanding and building on students’ own pre-existing epistemological resources in order to foster an epistemic fluency </w:t>
      </w:r>
      <w:r w:rsidR="0040596D">
        <w:rPr>
          <w:lang w:eastAsia="ja-JP"/>
        </w:rPr>
        <w:t>that will allow them to recognis</w:t>
      </w:r>
      <w:r w:rsidR="0068576D" w:rsidRPr="00C15913">
        <w:rPr>
          <w:lang w:eastAsia="ja-JP"/>
        </w:rPr>
        <w:t>e, and engage in, the process of creating and validating mathematical knowledge.</w:t>
      </w:r>
    </w:p>
    <w:p w14:paraId="5FDC3886" w14:textId="3C090526" w:rsidR="009654A0" w:rsidRPr="00482ED4" w:rsidRDefault="004D3172" w:rsidP="0058516E">
      <w:pPr>
        <w:pStyle w:val="ICMENormal"/>
      </w:pPr>
      <w:r>
        <w:t>A</w:t>
      </w:r>
      <w:r w:rsidR="00B53763">
        <w:t xml:space="preserve"> number of</w:t>
      </w:r>
      <w:r w:rsidR="009654A0" w:rsidRPr="00482ED4">
        <w:t xml:space="preserve"> potential difficulties in any attempt to place proving </w:t>
      </w:r>
      <w:r>
        <w:t xml:space="preserve">and proof </w:t>
      </w:r>
      <w:r w:rsidR="009654A0" w:rsidRPr="00482ED4">
        <w:t>more prominently in the transition years</w:t>
      </w:r>
      <w:r>
        <w:t xml:space="preserve"> have been identified</w:t>
      </w:r>
      <w:r w:rsidR="00B53763">
        <w:t>. These include</w:t>
      </w:r>
      <w:r w:rsidR="009654A0" w:rsidRPr="00482ED4">
        <w:t xml:space="preserve"> the role of definitions, and the problem of student met-befores </w:t>
      </w:r>
      <w:r w:rsidR="009654A0" w:rsidRPr="00482ED4">
        <w:rPr>
          <w:lang w:eastAsia="ja-JP"/>
        </w:rPr>
        <w:t>(Tall &amp; Mejia-Ramos, 2006)</w:t>
      </w:r>
      <w:r w:rsidR="00B53763">
        <w:rPr>
          <w:lang w:eastAsia="ja-JP"/>
        </w:rPr>
        <w:t>.</w:t>
      </w:r>
      <w:r w:rsidR="004214D1" w:rsidRPr="004214D1">
        <w:t xml:space="preserve"> </w:t>
      </w:r>
      <w:r w:rsidR="009654A0" w:rsidRPr="00482ED4">
        <w:rPr>
          <w:lang w:eastAsia="ja-JP"/>
        </w:rPr>
        <w:t xml:space="preserve">A </w:t>
      </w:r>
      <w:r w:rsidR="009654A0" w:rsidRPr="00482ED4">
        <w:t xml:space="preserve">desire to use definitions as </w:t>
      </w:r>
      <w:r w:rsidR="009654A0" w:rsidRPr="00482ED4">
        <w:lastRenderedPageBreak/>
        <w:t>the basis of deductive reasoning in schools is likely to meet serious problems</w:t>
      </w:r>
      <w:r w:rsidR="003D69FD">
        <w:t>,</w:t>
      </w:r>
      <w:r w:rsidR="009654A0" w:rsidRPr="00482ED4">
        <w:t xml:space="preserve"> since, according to H</w:t>
      </w:r>
      <w:r w:rsidR="003D69FD">
        <w:t>arel (2008</w:t>
      </w:r>
      <w:r w:rsidR="009654A0" w:rsidRPr="00482ED4">
        <w:t>)</w:t>
      </w:r>
      <w:r w:rsidR="003D69FD">
        <w:t>,</w:t>
      </w:r>
      <w:r w:rsidR="009654A0" w:rsidRPr="00482ED4">
        <w:t xml:space="preserve"> this form of reasoning is generally not available to school students. </w:t>
      </w:r>
      <w:r w:rsidR="007834AF" w:rsidRPr="00482ED4">
        <w:t xml:space="preserve">A study by Hemmi (2008) agrees that students have difficulties understanding the role of definitions in proofs. She advocates a style of teaching that uses the principle of </w:t>
      </w:r>
      <w:r w:rsidR="007834AF" w:rsidRPr="00482ED4">
        <w:rPr>
          <w:i/>
        </w:rPr>
        <w:t>transparency</w:t>
      </w:r>
      <w:r w:rsidR="007834AF" w:rsidRPr="00482ED4">
        <w:t xml:space="preserve">, making the difference between empirical evidence and deductive argument visible to students. </w:t>
      </w:r>
      <w:r w:rsidR="00B53763">
        <w:t xml:space="preserve">In addition, the </w:t>
      </w:r>
      <w:r w:rsidR="00B53763" w:rsidRPr="00482ED4">
        <w:t xml:space="preserve">cognitive influence of student met-befores </w:t>
      </w:r>
      <w:r w:rsidR="00B53763">
        <w:t>can be</w:t>
      </w:r>
      <w:r w:rsidR="00B53763" w:rsidRPr="00482ED4">
        <w:t xml:space="preserve"> strong</w:t>
      </w:r>
      <w:r w:rsidR="00B53763">
        <w:t>, with Cartiglia et al. (2004) showing</w:t>
      </w:r>
      <w:r w:rsidR="00B53763" w:rsidRPr="00482ED4">
        <w:t xml:space="preserve"> that</w:t>
      </w:r>
      <w:r w:rsidR="00B53763">
        <w:t xml:space="preserve"> </w:t>
      </w:r>
      <w:r w:rsidR="00B53763" w:rsidRPr="00482ED4">
        <w:t xml:space="preserve">the most recent met-before for university students, </w:t>
      </w:r>
      <w:r w:rsidR="00B53763">
        <w:t>namely a formal approach, had</w:t>
      </w:r>
      <w:r w:rsidR="00B53763" w:rsidRPr="00482ED4">
        <w:t xml:space="preserve"> a strong influence on their reasoning. </w:t>
      </w:r>
      <w:r w:rsidR="00CC636A">
        <w:t>A further difficulty, highlighted by Iannone and</w:t>
      </w:r>
      <w:r w:rsidR="00CC636A" w:rsidRPr="00F50EC2">
        <w:t xml:space="preserve"> Inglis </w:t>
      </w:r>
      <w:r w:rsidR="00CC636A">
        <w:t xml:space="preserve">(2011), </w:t>
      </w:r>
      <w:r w:rsidR="000A5C7F">
        <w:t xml:space="preserve">was </w:t>
      </w:r>
      <w:r w:rsidR="000A5C7F" w:rsidRPr="001E781D">
        <w:t xml:space="preserve">a range of weaknesses in </w:t>
      </w:r>
      <w:r w:rsidR="000A5C7F">
        <w:t xml:space="preserve">beginning university </w:t>
      </w:r>
      <w:r w:rsidR="000A5C7F" w:rsidRPr="001E781D">
        <w:t xml:space="preserve">mathematics students’ </w:t>
      </w:r>
      <w:r w:rsidR="000A5C7F">
        <w:t>ability to</w:t>
      </w:r>
      <w:r w:rsidR="00CC636A">
        <w:t xml:space="preserve"> </w:t>
      </w:r>
      <w:r w:rsidR="000A5C7F">
        <w:t>produce</w:t>
      </w:r>
      <w:r w:rsidR="000A5C7F" w:rsidRPr="001E781D">
        <w:t xml:space="preserve"> a deductive argument</w:t>
      </w:r>
      <w:r w:rsidR="000A5C7F">
        <w:t>,</w:t>
      </w:r>
      <w:r w:rsidR="000A5C7F" w:rsidRPr="001E781D">
        <w:t xml:space="preserve"> </w:t>
      </w:r>
      <w:r w:rsidR="000A5C7F">
        <w:t>even when they</w:t>
      </w:r>
      <w:r w:rsidR="00CC636A">
        <w:t xml:space="preserve"> were aware </w:t>
      </w:r>
      <w:r w:rsidR="00CC636A" w:rsidRPr="001E781D">
        <w:t xml:space="preserve">they </w:t>
      </w:r>
      <w:r w:rsidR="00CC636A">
        <w:t xml:space="preserve">should do so. </w:t>
      </w:r>
      <w:r w:rsidR="009654A0" w:rsidRPr="00482ED4">
        <w:t xml:space="preserve">Another </w:t>
      </w:r>
      <w:r w:rsidR="0077373B">
        <w:t>obstacle</w:t>
      </w:r>
      <w:r w:rsidR="00B53763">
        <w:t xml:space="preserve"> could be</w:t>
      </w:r>
      <w:r w:rsidR="009654A0" w:rsidRPr="00482ED4">
        <w:t xml:space="preserve"> the form of teaching in schools</w:t>
      </w:r>
      <w:r w:rsidR="004214D1">
        <w:t xml:space="preserve">, where </w:t>
      </w:r>
      <w:r w:rsidR="004214D1" w:rsidRPr="00482ED4">
        <w:t xml:space="preserve">mostly argumentation skills </w:t>
      </w:r>
      <w:r w:rsidR="004214D1">
        <w:t xml:space="preserve">are advanced </w:t>
      </w:r>
      <w:r w:rsidR="004214D1" w:rsidRPr="00482ED4">
        <w:t>with little or no deductive reasoning</w:t>
      </w:r>
      <w:r w:rsidR="009654A0" w:rsidRPr="00482ED4">
        <w:t xml:space="preserve">. </w:t>
      </w:r>
      <w:r w:rsidR="003D69FD">
        <w:t>A potential way forward</w:t>
      </w:r>
      <w:r w:rsidR="00B53763">
        <w:t xml:space="preserve"> here</w:t>
      </w:r>
      <w:r w:rsidR="003D69FD">
        <w:t xml:space="preserve">, </w:t>
      </w:r>
      <w:r w:rsidR="009654A0" w:rsidRPr="00482ED4">
        <w:t xml:space="preserve">proposed by </w:t>
      </w:r>
      <w:r w:rsidR="009654A0" w:rsidRPr="00482ED4">
        <w:rPr>
          <w:color w:val="131313"/>
        </w:rPr>
        <w:t xml:space="preserve">Inglis, Mejia-Ramos, and Simpson (2007), </w:t>
      </w:r>
      <w:r w:rsidR="003D69FD">
        <w:rPr>
          <w:color w:val="131313"/>
        </w:rPr>
        <w:t>is the</w:t>
      </w:r>
      <w:r w:rsidR="009654A0" w:rsidRPr="00482ED4">
        <w:rPr>
          <w:color w:val="141314"/>
        </w:rPr>
        <w:t xml:space="preserve"> use of the full Toulmin argumentation scheme, including its modal qualifier and rebuttal</w:t>
      </w:r>
      <w:r w:rsidR="00D72027">
        <w:rPr>
          <w:color w:val="141314"/>
        </w:rPr>
        <w:t>,</w:t>
      </w:r>
      <w:r w:rsidR="009654A0" w:rsidRPr="00482ED4">
        <w:rPr>
          <w:color w:val="141314"/>
        </w:rPr>
        <w:t xml:space="preserve"> since </w:t>
      </w:r>
      <w:r w:rsidR="00746B7F">
        <w:rPr>
          <w:color w:val="141314"/>
        </w:rPr>
        <w:t xml:space="preserve">then </w:t>
      </w:r>
      <w:r w:rsidR="009654A0" w:rsidRPr="00482ED4">
        <w:rPr>
          <w:color w:val="141314"/>
        </w:rPr>
        <w:t>it would not be necessary for teaching to go straight to the use of formal deductive warrants.</w:t>
      </w:r>
    </w:p>
    <w:p w14:paraId="7D7CAD86" w14:textId="52E1D1F4" w:rsidR="009654A0" w:rsidRPr="009F0BCF" w:rsidRDefault="0077373B" w:rsidP="0058516E">
      <w:pPr>
        <w:pStyle w:val="ICMENormal"/>
      </w:pPr>
      <w:r>
        <w:rPr>
          <w:color w:val="141314"/>
        </w:rPr>
        <w:t>One</w:t>
      </w:r>
      <w:r w:rsidR="009654A0" w:rsidRPr="00482ED4">
        <w:rPr>
          <w:color w:val="141314"/>
        </w:rPr>
        <w:t xml:space="preserve"> pedagogical </w:t>
      </w:r>
      <w:r>
        <w:rPr>
          <w:color w:val="141314"/>
        </w:rPr>
        <w:t xml:space="preserve">strategy to </w:t>
      </w:r>
      <w:r w:rsidR="00CE41EF">
        <w:rPr>
          <w:color w:val="141314"/>
        </w:rPr>
        <w:t>address</w:t>
      </w:r>
      <w:r w:rsidR="009654A0" w:rsidRPr="00482ED4">
        <w:rPr>
          <w:color w:val="141314"/>
        </w:rPr>
        <w:t xml:space="preserve"> </w:t>
      </w:r>
      <w:r w:rsidR="006B64CF">
        <w:rPr>
          <w:color w:val="141314"/>
        </w:rPr>
        <w:t xml:space="preserve">the </w:t>
      </w:r>
      <w:r w:rsidR="009654A0" w:rsidRPr="00482ED4">
        <w:rPr>
          <w:color w:val="141314"/>
        </w:rPr>
        <w:t xml:space="preserve">teaching of proving researchers </w:t>
      </w:r>
      <w:r w:rsidR="00D72027">
        <w:rPr>
          <w:color w:val="141314"/>
        </w:rPr>
        <w:t xml:space="preserve">propose </w:t>
      </w:r>
      <w:r w:rsidR="009654A0" w:rsidRPr="00A63BD0">
        <w:rPr>
          <w:rStyle w:val="CitaoHTML"/>
          <w:i w:val="0"/>
        </w:rPr>
        <w:t xml:space="preserve">is student construction and justification of conjectures. </w:t>
      </w:r>
      <w:r>
        <w:rPr>
          <w:rStyle w:val="CitaoHTML"/>
          <w:i w:val="0"/>
        </w:rPr>
        <w:t>This approach</w:t>
      </w:r>
      <w:r w:rsidR="009654A0" w:rsidRPr="00482ED4">
        <w:rPr>
          <w:color w:val="141314"/>
        </w:rPr>
        <w:t xml:space="preserve"> highlights the </w:t>
      </w:r>
      <w:r>
        <w:rPr>
          <w:color w:val="141314"/>
        </w:rPr>
        <w:t>use of</w:t>
      </w:r>
      <w:r w:rsidR="009654A0" w:rsidRPr="00482ED4">
        <w:rPr>
          <w:color w:val="141314"/>
        </w:rPr>
        <w:t xml:space="preserve"> </w:t>
      </w:r>
      <w:r w:rsidR="009654A0" w:rsidRPr="00482ED4">
        <w:t>o</w:t>
      </w:r>
      <w:r w:rsidR="009654A0" w:rsidRPr="00482ED4">
        <w:rPr>
          <w:color w:val="141314"/>
        </w:rPr>
        <w:t xml:space="preserve">pen problems that ask for a conjecture, </w:t>
      </w:r>
      <w:r>
        <w:rPr>
          <w:color w:val="141314"/>
        </w:rPr>
        <w:t>and</w:t>
      </w:r>
      <w:r w:rsidR="009654A0" w:rsidRPr="00482ED4">
        <w:rPr>
          <w:color w:val="141314"/>
        </w:rPr>
        <w:t xml:space="preserve"> </w:t>
      </w:r>
      <w:r>
        <w:rPr>
          <w:color w:val="141314"/>
        </w:rPr>
        <w:t xml:space="preserve">appears to be an </w:t>
      </w:r>
      <w:r w:rsidR="009654A0" w:rsidRPr="00482ED4">
        <w:rPr>
          <w:color w:val="141314"/>
        </w:rPr>
        <w:t xml:space="preserve">effective way to introduce the learning of proof. </w:t>
      </w:r>
      <w:r w:rsidR="00D72027">
        <w:t>Pedemonte (</w:t>
      </w:r>
      <w:r w:rsidR="00D72027" w:rsidRPr="00482ED4">
        <w:t>2007, 2008</w:t>
      </w:r>
      <w:r w:rsidR="00D72027" w:rsidRPr="00482ED4">
        <w:rPr>
          <w:color w:val="141314"/>
        </w:rPr>
        <w:t>)</w:t>
      </w:r>
      <w:r w:rsidR="00D72027" w:rsidRPr="00482ED4">
        <w:rPr>
          <w:rStyle w:val="CitaoHTML"/>
        </w:rPr>
        <w:t xml:space="preserve"> </w:t>
      </w:r>
      <w:r w:rsidR="009654A0" w:rsidRPr="00482ED4">
        <w:rPr>
          <w:color w:val="141314"/>
        </w:rPr>
        <w:t xml:space="preserve">also </w:t>
      </w:r>
      <w:r w:rsidR="009654A0" w:rsidRPr="00482ED4">
        <w:t>dis</w:t>
      </w:r>
      <w:r>
        <w:t>cusses t</w:t>
      </w:r>
      <w:r w:rsidR="009654A0" w:rsidRPr="00482ED4">
        <w:t xml:space="preserve">he relationship between argumentation and proof in terms of </w:t>
      </w:r>
      <w:r>
        <w:t xml:space="preserve">the construct of </w:t>
      </w:r>
      <w:r w:rsidR="009654A0" w:rsidRPr="00482ED4">
        <w:rPr>
          <w:i/>
        </w:rPr>
        <w:t>structural distance</w:t>
      </w:r>
      <w:r w:rsidR="009654A0" w:rsidRPr="00482ED4">
        <w:t>, moving from abductive, or plausible, argumentation to a dedu</w:t>
      </w:r>
      <w:r>
        <w:t>ctive proof, arguing</w:t>
      </w:r>
      <w:r w:rsidR="009654A0" w:rsidRPr="00482ED4">
        <w:t xml:space="preserve"> for an abductive step in the structurant argumentation</w:t>
      </w:r>
      <w:r>
        <w:t xml:space="preserve"> in order to</w:t>
      </w:r>
      <w:r w:rsidR="009654A0" w:rsidRPr="00482ED4">
        <w:t xml:space="preserve"> </w:t>
      </w:r>
      <w:r w:rsidRPr="00482ED4">
        <w:t xml:space="preserve">assist transition </w:t>
      </w:r>
      <w:r>
        <w:t>by decreasing</w:t>
      </w:r>
      <w:r w:rsidR="009654A0" w:rsidRPr="00482ED4">
        <w:t xml:space="preserve"> the gap between the arithmetic field in argumentation and the al</w:t>
      </w:r>
      <w:r>
        <w:t>gebraic field in proof</w:t>
      </w:r>
      <w:r w:rsidR="00134DCC">
        <w:t xml:space="preserve">. The approach </w:t>
      </w:r>
      <w:r w:rsidR="009654A0" w:rsidRPr="00482ED4">
        <w:rPr>
          <w:color w:val="141314"/>
        </w:rPr>
        <w:t>by K</w:t>
      </w:r>
      <w:r w:rsidR="00F91327">
        <w:rPr>
          <w:color w:val="141314"/>
        </w:rPr>
        <w:t>ondratieva (2011</w:t>
      </w:r>
      <w:r w:rsidR="009654A0" w:rsidRPr="00482ED4">
        <w:rPr>
          <w:color w:val="141314"/>
        </w:rPr>
        <w:t>)</w:t>
      </w:r>
      <w:r w:rsidR="009654A0" w:rsidRPr="00482ED4">
        <w:rPr>
          <w:rStyle w:val="CitaoHTML"/>
        </w:rPr>
        <w:t xml:space="preserve"> </w:t>
      </w:r>
      <w:r w:rsidR="009654A0" w:rsidRPr="00B92D53">
        <w:rPr>
          <w:rStyle w:val="CitaoHTML"/>
          <w:i w:val="0"/>
        </w:rPr>
        <w:t xml:space="preserve">uses the idea of an interconnecting problem to get students to construct and justify conjectures. </w:t>
      </w:r>
      <w:r w:rsidR="00134DCC">
        <w:t>C</w:t>
      </w:r>
      <w:r w:rsidR="009654A0" w:rsidRPr="00482ED4">
        <w:t xml:space="preserve">onjecture production </w:t>
      </w:r>
      <w:r w:rsidR="00134DCC">
        <w:t>may also have a role</w:t>
      </w:r>
      <w:r w:rsidR="009654A0" w:rsidRPr="00482ED4">
        <w:t xml:space="preserve"> during production of indirect proofs</w:t>
      </w:r>
      <w:r w:rsidR="00134DCC">
        <w:t xml:space="preserve"> </w:t>
      </w:r>
      <w:r w:rsidR="00134DCC" w:rsidRPr="00482ED4">
        <w:t>(Antonini &amp; Mariotti, 2008)</w:t>
      </w:r>
      <w:r w:rsidR="009654A0" w:rsidRPr="00482ED4">
        <w:t xml:space="preserve">, such as by contradiction and contraposition. </w:t>
      </w:r>
      <w:r w:rsidR="00134DCC">
        <w:t>U</w:t>
      </w:r>
      <w:r w:rsidR="006B64CF" w:rsidRPr="00482ED4">
        <w:t>sing a Cognitive Unity approach</w:t>
      </w:r>
      <w:r w:rsidR="00C061B6">
        <w:t xml:space="preserve"> </w:t>
      </w:r>
      <w:r w:rsidR="00C061B6" w:rsidRPr="00C05BF0">
        <w:t>(</w:t>
      </w:r>
      <w:r w:rsidR="00D83531" w:rsidRPr="00C05BF0">
        <w:rPr>
          <w:color w:val="141314"/>
          <w:lang w:eastAsia="ja-JP"/>
        </w:rPr>
        <w:t xml:space="preserve">Garuti, </w:t>
      </w:r>
      <w:r w:rsidR="00C061B6" w:rsidRPr="00C05BF0">
        <w:rPr>
          <w:color w:val="141314"/>
          <w:lang w:eastAsia="ja-JP"/>
        </w:rPr>
        <w:t xml:space="preserve">Boero, </w:t>
      </w:r>
      <w:r w:rsidR="00D83531" w:rsidRPr="00C05BF0">
        <w:rPr>
          <w:color w:val="141314"/>
          <w:lang w:eastAsia="ja-JP"/>
        </w:rPr>
        <w:t xml:space="preserve">Lemut </w:t>
      </w:r>
      <w:r w:rsidR="00C061B6" w:rsidRPr="00C05BF0">
        <w:rPr>
          <w:color w:val="141314"/>
          <w:lang w:eastAsia="ja-JP"/>
        </w:rPr>
        <w:t>&amp; Mariotti, 1996)</w:t>
      </w:r>
      <w:r w:rsidR="006B64CF" w:rsidRPr="00C05BF0">
        <w:t>,</w:t>
      </w:r>
      <w:r w:rsidR="006B64CF" w:rsidRPr="00482ED4">
        <w:t xml:space="preserve"> </w:t>
      </w:r>
      <w:r w:rsidR="00D72027">
        <w:t>Antonini and Mariotti</w:t>
      </w:r>
      <w:r w:rsidR="00D72027" w:rsidRPr="00482ED4">
        <w:t xml:space="preserve"> </w:t>
      </w:r>
      <w:r w:rsidR="00D72027">
        <w:t>(</w:t>
      </w:r>
      <w:r w:rsidR="00D72027" w:rsidRPr="00482ED4">
        <w:t>2008)</w:t>
      </w:r>
      <w:r w:rsidR="00D72027">
        <w:t xml:space="preserve"> </w:t>
      </w:r>
      <w:r w:rsidR="00134DCC">
        <w:t>show</w:t>
      </w:r>
      <w:r w:rsidR="009654A0" w:rsidRPr="00482ED4">
        <w:t xml:space="preserve"> that the production of indirect argumentation can hide some significant cognitive processes</w:t>
      </w:r>
      <w:r w:rsidR="00134DCC">
        <w:t xml:space="preserve"> that may be activated </w:t>
      </w:r>
      <w:r w:rsidR="00833258">
        <w:t xml:space="preserve">and </w:t>
      </w:r>
      <w:r w:rsidR="00146495">
        <w:t xml:space="preserve">then </w:t>
      </w:r>
      <w:r w:rsidR="00833258">
        <w:t xml:space="preserve">bridged </w:t>
      </w:r>
      <w:r w:rsidR="00134DCC">
        <w:t>by</w:t>
      </w:r>
      <w:r w:rsidR="009654A0" w:rsidRPr="00482ED4">
        <w:t xml:space="preserve"> conjecture </w:t>
      </w:r>
      <w:r w:rsidR="00833258">
        <w:t>production.</w:t>
      </w:r>
      <w:r w:rsidR="00C061B6">
        <w:t xml:space="preserve"> </w:t>
      </w:r>
    </w:p>
    <w:p w14:paraId="19018DE7" w14:textId="256970DA" w:rsidR="009654A0" w:rsidRPr="000E5B2E" w:rsidRDefault="00743D60" w:rsidP="0058516E">
      <w:pPr>
        <w:pStyle w:val="ICMENormal"/>
      </w:pPr>
      <w:r>
        <w:t xml:space="preserve">Some researchers propose the idea of pivotal, </w:t>
      </w:r>
      <w:r w:rsidR="009654A0" w:rsidRPr="00482ED4">
        <w:t xml:space="preserve">bridging </w:t>
      </w:r>
      <w:r>
        <w:t xml:space="preserve">or counter </w:t>
      </w:r>
      <w:r w:rsidR="009654A0" w:rsidRPr="00482ED4">
        <w:t>examples</w:t>
      </w:r>
      <w:r>
        <w:t xml:space="preserve"> could</w:t>
      </w:r>
      <w:r w:rsidR="009654A0" w:rsidRPr="00482ED4">
        <w:t xml:space="preserve"> assist students with proof ideas (</w:t>
      </w:r>
      <w:r w:rsidRPr="00482ED4">
        <w:rPr>
          <w:color w:val="141314"/>
        </w:rPr>
        <w:t>St</w:t>
      </w:r>
      <w:r>
        <w:rPr>
          <w:color w:val="141314"/>
        </w:rPr>
        <w:t xml:space="preserve">ylianides &amp; Stylianides, 2007; </w:t>
      </w:r>
      <w:r w:rsidR="009654A0" w:rsidRPr="00482ED4">
        <w:t xml:space="preserve">Zazkis &amp; Chernoff, 2008). </w:t>
      </w:r>
      <w:r w:rsidR="008F084E">
        <w:t>One potential</w:t>
      </w:r>
      <w:r w:rsidR="006B64CF" w:rsidRPr="00482ED4">
        <w:t xml:space="preserve"> benefit of a counterexample is to produce cognitive conflict in the student, and a pivotal example is designed to create a turning point in the </w:t>
      </w:r>
      <w:r w:rsidR="008F084E">
        <w:t>learner’s cognitive perception</w:t>
      </w:r>
      <w:r w:rsidR="006B64CF">
        <w:t xml:space="preserve">. </w:t>
      </w:r>
      <w:r w:rsidR="008F084E">
        <w:rPr>
          <w:color w:val="141314"/>
        </w:rPr>
        <w:t>C</w:t>
      </w:r>
      <w:r w:rsidR="006B64CF" w:rsidRPr="00482ED4">
        <w:rPr>
          <w:color w:val="141314"/>
        </w:rPr>
        <w:t xml:space="preserve">ounterexamples </w:t>
      </w:r>
      <w:r w:rsidR="008F084E">
        <w:rPr>
          <w:color w:val="141314"/>
        </w:rPr>
        <w:t xml:space="preserve">can </w:t>
      </w:r>
      <w:r w:rsidR="006B64CF" w:rsidRPr="00482ED4">
        <w:rPr>
          <w:color w:val="141314"/>
        </w:rPr>
        <w:t>also foster deductive reasoning, since we make deductions by building models and looking for counterexamples</w:t>
      </w:r>
      <w:r w:rsidR="006B64CF" w:rsidRPr="00482ED4">
        <w:t xml:space="preserve">. For Zazkis and Chernoff (2008) a counterexample is a mathematical concept, while a pivotal example is a pedagogical concept, and pivotal examples </w:t>
      </w:r>
      <w:r w:rsidR="00146495">
        <w:t>should be</w:t>
      </w:r>
      <w:r w:rsidR="006B64CF" w:rsidRPr="00482ED4">
        <w:t xml:space="preserve"> within, but pushing the boundaries of</w:t>
      </w:r>
      <w:r w:rsidR="00146495">
        <w:t>,</w:t>
      </w:r>
      <w:r w:rsidR="006B64CF" w:rsidRPr="00482ED4">
        <w:t xml:space="preserve"> the </w:t>
      </w:r>
      <w:r w:rsidR="008F084E">
        <w:t xml:space="preserve">set of examples students have experienced. </w:t>
      </w:r>
      <w:r w:rsidR="009654A0" w:rsidRPr="00482ED4">
        <w:rPr>
          <w:color w:val="131313"/>
        </w:rPr>
        <w:t xml:space="preserve">The role of examples also arose in research by Weber and Mejia-Ramos (2011) </w:t>
      </w:r>
      <w:r w:rsidR="009654A0" w:rsidRPr="00482ED4">
        <w:t>on read</w:t>
      </w:r>
      <w:r w:rsidR="001A612B">
        <w:t>ing</w:t>
      </w:r>
      <w:r w:rsidR="00146495">
        <w:t xml:space="preserve"> proofs, and suggests, based on a c</w:t>
      </w:r>
      <w:r w:rsidR="001A612B">
        <w:t>onsideration of</w:t>
      </w:r>
      <w:r w:rsidR="009654A0" w:rsidRPr="00482ED4">
        <w:rPr>
          <w:color w:val="131313"/>
        </w:rPr>
        <w:t xml:space="preserve"> proof reading by mathematicians</w:t>
      </w:r>
      <w:r w:rsidR="00146495">
        <w:rPr>
          <w:color w:val="131313"/>
        </w:rPr>
        <w:t>,</w:t>
      </w:r>
      <w:r w:rsidR="009654A0" w:rsidRPr="00482ED4">
        <w:rPr>
          <w:color w:val="131313"/>
        </w:rPr>
        <w:t xml:space="preserve"> that students might be taught how to use examples to increase their conviction in, or understanding of, a proof</w:t>
      </w:r>
      <w:r w:rsidR="001A612B">
        <w:rPr>
          <w:color w:val="131313"/>
        </w:rPr>
        <w:t>.</w:t>
      </w:r>
      <w:r w:rsidR="00146495">
        <w:t xml:space="preserve"> I</w:t>
      </w:r>
      <w:r w:rsidR="00146495" w:rsidRPr="00482ED4">
        <w:t>n order to know what skills to teach students</w:t>
      </w:r>
      <w:r w:rsidR="00146495">
        <w:t>,</w:t>
      </w:r>
      <w:r w:rsidR="00146495" w:rsidRPr="00482ED4">
        <w:t xml:space="preserve"> </w:t>
      </w:r>
      <w:r w:rsidR="009654A0" w:rsidRPr="00482ED4">
        <w:t xml:space="preserve">Alcock and Inglis (2008, 2009) </w:t>
      </w:r>
      <w:r w:rsidR="00146495">
        <w:t>maintain</w:t>
      </w:r>
      <w:r w:rsidR="009654A0" w:rsidRPr="00482ED4">
        <w:t xml:space="preserve"> </w:t>
      </w:r>
      <w:r w:rsidR="00146495">
        <w:t>identifying the</w:t>
      </w:r>
      <w:r w:rsidR="009654A0" w:rsidRPr="00482ED4">
        <w:t xml:space="preserve"> different strategies of proof construction among experts, </w:t>
      </w:r>
      <w:r w:rsidR="00146495">
        <w:t>will grow knowledge of</w:t>
      </w:r>
      <w:r w:rsidR="009654A0" w:rsidRPr="00482ED4">
        <w:t xml:space="preserve"> what skills to teach students</w:t>
      </w:r>
      <w:r w:rsidR="0064114E">
        <w:t>,</w:t>
      </w:r>
      <w:r w:rsidR="009654A0" w:rsidRPr="00482ED4">
        <w:t xml:space="preserve"> and how they can be employed. They </w:t>
      </w:r>
      <w:r w:rsidR="0064114E">
        <w:lastRenderedPageBreak/>
        <w:t>suggest there is</w:t>
      </w:r>
      <w:r w:rsidR="009654A0" w:rsidRPr="00482ED4">
        <w:t xml:space="preserve"> a need for large-scale studies to investigate undergraduate proof production, and an extension of this to include upper secondary school could be beneficial for transition.</w:t>
      </w:r>
    </w:p>
    <w:p w14:paraId="7AA06200" w14:textId="4C7821AA" w:rsidR="009654A0" w:rsidRDefault="009654A0" w:rsidP="00E302CD">
      <w:pPr>
        <w:pStyle w:val="ICMEHeading3"/>
      </w:pPr>
      <w:r>
        <w:t>M</w:t>
      </w:r>
      <w:r w:rsidRPr="000E5B2E">
        <w:t xml:space="preserve">athematical </w:t>
      </w:r>
      <w:r w:rsidR="002C00D6">
        <w:t>M</w:t>
      </w:r>
      <w:r w:rsidRPr="000E5B2E">
        <w:t xml:space="preserve">odelling and </w:t>
      </w:r>
      <w:r w:rsidR="002C00D6">
        <w:t>A</w:t>
      </w:r>
      <w:r w:rsidRPr="000E5B2E">
        <w:t>pplications</w:t>
      </w:r>
    </w:p>
    <w:p w14:paraId="41453F21" w14:textId="012CA279" w:rsidR="00322038" w:rsidRPr="00192CC2" w:rsidRDefault="00FB5AD8" w:rsidP="0058516E">
      <w:pPr>
        <w:pStyle w:val="ICMENormal"/>
        <w:rPr>
          <w:rFonts w:eastAsia="SimSun"/>
          <w:b/>
        </w:rPr>
      </w:pPr>
      <w:r>
        <w:t>M</w:t>
      </w:r>
      <w:r w:rsidRPr="000E5B2E">
        <w:t xml:space="preserve">athematical modelling and applications </w:t>
      </w:r>
      <w:r>
        <w:t>continues to be a</w:t>
      </w:r>
      <w:r w:rsidRPr="000E5B2E">
        <w:t xml:space="preserve"> central theme in mathematics education </w:t>
      </w:r>
      <w:r>
        <w:t>(</w:t>
      </w:r>
      <w:r w:rsidR="006B64CF" w:rsidRPr="000E5B2E">
        <w:t>Blum et al</w:t>
      </w:r>
      <w:r w:rsidR="006B64CF">
        <w:t>.</w:t>
      </w:r>
      <w:r>
        <w:t xml:space="preserve">, </w:t>
      </w:r>
      <w:r w:rsidR="006B64CF" w:rsidRPr="000E5B2E">
        <w:t>2002)</w:t>
      </w:r>
      <w:r>
        <w:t xml:space="preserve">, with </w:t>
      </w:r>
      <w:r w:rsidR="006B64CF">
        <w:t>a growing</w:t>
      </w:r>
      <w:r w:rsidR="006B64CF" w:rsidRPr="000E5B2E">
        <w:t xml:space="preserve"> research literature </w:t>
      </w:r>
      <w:r>
        <w:t xml:space="preserve">and </w:t>
      </w:r>
      <w:r w:rsidR="006B64CF" w:rsidRPr="000E5B2E">
        <w:t>several international conferences/e</w:t>
      </w:r>
      <w:r w:rsidR="006B64CF">
        <w:t>vents</w:t>
      </w:r>
      <w:r w:rsidR="006B64CF" w:rsidRPr="000E5B2E">
        <w:t xml:space="preserve"> dedicated to </w:t>
      </w:r>
      <w:r>
        <w:t>its</w:t>
      </w:r>
      <w:r w:rsidR="006B64CF" w:rsidRPr="000E5B2E">
        <w:t xml:space="preserve"> teaching and learning. The primary focus of </w:t>
      </w:r>
      <w:r w:rsidR="006B64CF">
        <w:t>much</w:t>
      </w:r>
      <w:r w:rsidR="006B64CF" w:rsidRPr="000E5B2E">
        <w:t xml:space="preserve"> research </w:t>
      </w:r>
      <w:r w:rsidR="006B64CF">
        <w:t>is</w:t>
      </w:r>
      <w:r w:rsidR="006B64CF" w:rsidRPr="000E5B2E">
        <w:t xml:space="preserve"> on practice activities</w:t>
      </w:r>
      <w:r w:rsidR="0074208E">
        <w:t>.</w:t>
      </w:r>
      <w:r w:rsidR="009654A0" w:rsidRPr="000E5B2E">
        <w:t xml:space="preserve"> However, it </w:t>
      </w:r>
      <w:r w:rsidR="00743909">
        <w:t>appears that</w:t>
      </w:r>
      <w:r w:rsidR="009654A0" w:rsidRPr="000E5B2E">
        <w:t xml:space="preserve"> no literature exist</w:t>
      </w:r>
      <w:r w:rsidR="00743909">
        <w:t>s</w:t>
      </w:r>
      <w:r w:rsidR="009654A0" w:rsidRPr="000E5B2E">
        <w:t xml:space="preserve"> explicitly discussing </w:t>
      </w:r>
      <w:r w:rsidR="00192CC2">
        <w:t>these</w:t>
      </w:r>
      <w:r w:rsidR="00743909">
        <w:t xml:space="preserve"> topic</w:t>
      </w:r>
      <w:r w:rsidR="00192CC2">
        <w:t>s</w:t>
      </w:r>
      <w:r w:rsidR="00743909">
        <w:t xml:space="preserve"> with a focus on the ‘</w:t>
      </w:r>
      <w:r w:rsidR="009654A0" w:rsidRPr="000E5B2E">
        <w:t>tran</w:t>
      </w:r>
      <w:r w:rsidR="00743909">
        <w:t>sition’</w:t>
      </w:r>
      <w:r w:rsidR="009654A0" w:rsidRPr="000E5B2E">
        <w:t xml:space="preserve"> from the secondary to the </w:t>
      </w:r>
      <w:r w:rsidR="00743909">
        <w:t>university levels</w:t>
      </w:r>
      <w:r w:rsidR="009654A0" w:rsidRPr="000E5B2E">
        <w:t xml:space="preserve">. </w:t>
      </w:r>
      <w:r w:rsidR="00743909">
        <w:t>One</w:t>
      </w:r>
      <w:r w:rsidR="009654A0" w:rsidRPr="000E5B2E">
        <w:t xml:space="preserve"> reason might be that there </w:t>
      </w:r>
      <w:r w:rsidR="00743909">
        <w:t>have been</w:t>
      </w:r>
      <w:r w:rsidR="009654A0" w:rsidRPr="000E5B2E">
        <w:t xml:space="preserve"> no roadmaps to sustained implementation of modelling education at all levels. </w:t>
      </w:r>
      <w:r w:rsidR="00192CC2">
        <w:t xml:space="preserve">The </w:t>
      </w:r>
      <w:r w:rsidR="009654A0" w:rsidRPr="000E5B2E">
        <w:t>role of applications and mathematical modelling in everyday teaching pr</w:t>
      </w:r>
      <w:r w:rsidR="00743909">
        <w:t xml:space="preserve">actice is </w:t>
      </w:r>
      <w:r w:rsidR="00192CC2">
        <w:t>somewhat</w:t>
      </w:r>
      <w:r w:rsidR="00743909">
        <w:t xml:space="preserve"> marginal for all levels of education</w:t>
      </w:r>
      <w:r w:rsidR="00192CC2">
        <w:t xml:space="preserve"> and </w:t>
      </w:r>
      <w:r w:rsidR="0074208E">
        <w:t>could</w:t>
      </w:r>
      <w:r w:rsidR="00192CC2">
        <w:t xml:space="preserve"> be </w:t>
      </w:r>
      <w:r w:rsidR="0074208E">
        <w:t xml:space="preserve">better </w:t>
      </w:r>
      <w:r w:rsidR="009654A0" w:rsidRPr="000E5B2E">
        <w:t xml:space="preserve">integrated </w:t>
      </w:r>
      <w:r w:rsidR="00192CC2">
        <w:t>into</w:t>
      </w:r>
      <w:r w:rsidR="009654A0" w:rsidRPr="000E5B2E">
        <w:t xml:space="preserve"> all levels of mathematics education.  </w:t>
      </w:r>
    </w:p>
    <w:p w14:paraId="42B8B64C" w14:textId="5A2A146C" w:rsidR="00322038" w:rsidRDefault="00BD5BBF" w:rsidP="0058516E">
      <w:pPr>
        <w:pStyle w:val="ICMENormal"/>
      </w:pPr>
      <w:r>
        <w:t>There is</w:t>
      </w:r>
      <w:r w:rsidR="009654A0" w:rsidRPr="000E5B2E">
        <w:t xml:space="preserve"> </w:t>
      </w:r>
      <w:r w:rsidR="007C5975">
        <w:t xml:space="preserve">recent </w:t>
      </w:r>
      <w:r w:rsidR="009654A0" w:rsidRPr="000E5B2E">
        <w:t>literature partially rele</w:t>
      </w:r>
      <w:r>
        <w:t>vant to the secondary-tertiary transition</w:t>
      </w:r>
      <w:r w:rsidR="009654A0" w:rsidRPr="000E5B2E">
        <w:t xml:space="preserve"> issue</w:t>
      </w:r>
      <w:r>
        <w:t xml:space="preserve"> and this is briefly considered here.</w:t>
      </w:r>
      <w:r w:rsidR="009654A0" w:rsidRPr="000E5B2E">
        <w:t xml:space="preserve"> </w:t>
      </w:r>
      <w:r w:rsidR="00322038">
        <w:t xml:space="preserve">One crucial duality, mentioned by </w:t>
      </w:r>
      <w:r w:rsidR="00322038" w:rsidRPr="000E5B2E">
        <w:t>Niss et al. (2007)</w:t>
      </w:r>
      <w:r w:rsidR="00322038">
        <w:t xml:space="preserve">, is the difference between </w:t>
      </w:r>
      <w:r w:rsidR="00476244">
        <w:t>‘</w:t>
      </w:r>
      <w:r w:rsidR="009654A0" w:rsidRPr="000E5B2E">
        <w:t xml:space="preserve">applications and modelling </w:t>
      </w:r>
      <w:r w:rsidR="00476244">
        <w:t>for the learning of mathematics’ and ‘</w:t>
      </w:r>
      <w:r w:rsidR="009654A0" w:rsidRPr="000E5B2E">
        <w:t>learning mathematics</w:t>
      </w:r>
      <w:r w:rsidR="00476244">
        <w:t xml:space="preserve"> for applications and modelling’</w:t>
      </w:r>
      <w:r w:rsidR="00322038">
        <w:t>.</w:t>
      </w:r>
      <w:r w:rsidR="009654A0" w:rsidRPr="000E5B2E">
        <w:t xml:space="preserve"> </w:t>
      </w:r>
      <w:r w:rsidR="00322038">
        <w:t>This</w:t>
      </w:r>
      <w:r w:rsidR="009654A0" w:rsidRPr="000E5B2E">
        <w:t xml:space="preserve"> duality is seldom made explicit</w:t>
      </w:r>
      <w:r w:rsidR="009F0EBE">
        <w:t xml:space="preserve"> in lower secondary school</w:t>
      </w:r>
      <w:r w:rsidR="009654A0" w:rsidRPr="000E5B2E">
        <w:t xml:space="preserve">, </w:t>
      </w:r>
      <w:r w:rsidR="00322038">
        <w:t xml:space="preserve">and </w:t>
      </w:r>
      <w:r w:rsidR="00B5552F">
        <w:t>instead</w:t>
      </w:r>
      <w:r w:rsidR="009654A0" w:rsidRPr="000E5B2E">
        <w:t xml:space="preserve"> both orientations </w:t>
      </w:r>
      <w:r w:rsidR="00322038">
        <w:t>are</w:t>
      </w:r>
      <w:r w:rsidR="00322038" w:rsidRPr="00322038">
        <w:t xml:space="preserve"> </w:t>
      </w:r>
      <w:r w:rsidR="00322038" w:rsidRPr="000E5B2E">
        <w:t>simul</w:t>
      </w:r>
      <w:r w:rsidR="00322038">
        <w:t>taneously insisted on</w:t>
      </w:r>
      <w:r w:rsidR="00B5552F">
        <w:t xml:space="preserve">. However, </w:t>
      </w:r>
      <w:r w:rsidR="009654A0" w:rsidRPr="000E5B2E">
        <w:t>at upper secondary or tertiary level the duality is</w:t>
      </w:r>
      <w:r w:rsidR="00B5552F">
        <w:t xml:space="preserve"> often a significant one.</w:t>
      </w:r>
      <w:r w:rsidR="009654A0" w:rsidRPr="000E5B2E">
        <w:t xml:space="preserve"> </w:t>
      </w:r>
    </w:p>
    <w:p w14:paraId="17D933A6" w14:textId="63A6B4A4" w:rsidR="00C758FC" w:rsidRPr="000E5B2E" w:rsidRDefault="00BD732D" w:rsidP="0058516E">
      <w:pPr>
        <w:pStyle w:val="ICMENormal"/>
      </w:pPr>
      <w:r>
        <w:t>The close relationship between modelling and problem solving is taken up by a number of authors</w:t>
      </w:r>
      <w:r w:rsidR="009F0EBE">
        <w:t>. F</w:t>
      </w:r>
      <w:r>
        <w:t xml:space="preserve">or example, </w:t>
      </w:r>
      <w:r w:rsidRPr="000E5B2E">
        <w:t>English and Sriraman (2010) suggest that mathematical model</w:t>
      </w:r>
      <w:r>
        <w:t>l</w:t>
      </w:r>
      <w:r w:rsidRPr="000E5B2E">
        <w:t xml:space="preserve">ing </w:t>
      </w:r>
      <w:r>
        <w:t>is a</w:t>
      </w:r>
      <w:r w:rsidRPr="000E5B2E">
        <w:t xml:space="preserve"> powerful option for advancing </w:t>
      </w:r>
      <w:r>
        <w:t xml:space="preserve">the </w:t>
      </w:r>
      <w:r w:rsidRPr="000E5B2E">
        <w:t xml:space="preserve">development </w:t>
      </w:r>
      <w:r>
        <w:t xml:space="preserve">of </w:t>
      </w:r>
      <w:r w:rsidR="009F0EBE">
        <w:t xml:space="preserve">problem </w:t>
      </w:r>
      <w:r w:rsidRPr="000E5B2E">
        <w:t xml:space="preserve">solving </w:t>
      </w:r>
      <w:r>
        <w:t xml:space="preserve">in the </w:t>
      </w:r>
      <w:r w:rsidRPr="000E5B2E">
        <w:t>curriculum.</w:t>
      </w:r>
      <w:r>
        <w:t xml:space="preserve"> </w:t>
      </w:r>
      <w:r w:rsidR="00C758FC">
        <w:t xml:space="preserve">However, </w:t>
      </w:r>
      <w:r w:rsidR="008108F5">
        <w:t xml:space="preserve">according to </w:t>
      </w:r>
      <w:r w:rsidR="00C758FC" w:rsidRPr="000E5B2E">
        <w:t>Petocz et al. (2007)</w:t>
      </w:r>
      <w:r w:rsidR="00066B33">
        <w:t>,</w:t>
      </w:r>
      <w:r w:rsidR="00C758FC" w:rsidRPr="000E5B2E">
        <w:t xml:space="preserve"> </w:t>
      </w:r>
      <w:r w:rsidR="008108F5">
        <w:t>there are distinct</w:t>
      </w:r>
      <w:r w:rsidR="00C758FC" w:rsidRPr="000E5B2E">
        <w:t xml:space="preserve"> advantages </w:t>
      </w:r>
      <w:r w:rsidR="008108F5">
        <w:t>to</w:t>
      </w:r>
      <w:r w:rsidR="00C758FC" w:rsidRPr="000E5B2E">
        <w:t xml:space="preserve"> usi</w:t>
      </w:r>
      <w:r w:rsidR="008108F5">
        <w:t>ng real world tasks in problem solving</w:t>
      </w:r>
      <w:r w:rsidR="009F0EBE">
        <w:t xml:space="preserve"> in order to</w:t>
      </w:r>
      <w:r w:rsidR="008108F5" w:rsidRPr="000E5B2E">
        <w:t xml:space="preserve"> model the way mathematicians</w:t>
      </w:r>
      <w:r w:rsidR="009F0EBE">
        <w:t xml:space="preserve"> work. </w:t>
      </w:r>
      <w:r w:rsidR="001B5DA3">
        <w:t xml:space="preserve">One difficulty described by </w:t>
      </w:r>
      <w:r w:rsidR="001B5DA3" w:rsidRPr="000E5B2E">
        <w:t xml:space="preserve">Ärlebäck and Frejd (2010) </w:t>
      </w:r>
      <w:r w:rsidR="001B5DA3">
        <w:t xml:space="preserve">is that </w:t>
      </w:r>
      <w:r w:rsidR="001B5DA3" w:rsidRPr="000E5B2E">
        <w:t xml:space="preserve">upper secondary students </w:t>
      </w:r>
      <w:r w:rsidR="001B5DA3">
        <w:t xml:space="preserve">have </w:t>
      </w:r>
      <w:r w:rsidR="009F0EBE">
        <w:t>little</w:t>
      </w:r>
      <w:r w:rsidR="001B5DA3">
        <w:t xml:space="preserve"> experience </w:t>
      </w:r>
      <w:r w:rsidR="001B5DA3" w:rsidRPr="000E5B2E">
        <w:t xml:space="preserve">working with real situations and modelling problems, </w:t>
      </w:r>
      <w:r w:rsidR="001B5DA3">
        <w:t>making the</w:t>
      </w:r>
      <w:r w:rsidR="001B5DA3" w:rsidRPr="000E5B2E">
        <w:t xml:space="preserve"> incorporation of real problems from industry </w:t>
      </w:r>
      <w:r w:rsidR="001B5DA3">
        <w:t>problematic. One</w:t>
      </w:r>
      <w:r w:rsidR="001B5DA3" w:rsidRPr="000E5B2E">
        <w:t xml:space="preserve"> </w:t>
      </w:r>
      <w:r w:rsidR="009F0EBE">
        <w:t>possible solution</w:t>
      </w:r>
      <w:r w:rsidR="001B5DA3">
        <w:t xml:space="preserve"> is </w:t>
      </w:r>
      <w:r w:rsidR="001B5DA3" w:rsidRPr="000E5B2E">
        <w:t>closer collaboration</w:t>
      </w:r>
      <w:r w:rsidR="009F0EBE">
        <w:t>,</w:t>
      </w:r>
      <w:r w:rsidR="001B5DA3" w:rsidRPr="000E5B2E">
        <w:t xml:space="preserve"> with representatives from industry working dire</w:t>
      </w:r>
      <w:r w:rsidR="001B5DA3">
        <w:t>ctly with classroom teachers.</w:t>
      </w:r>
      <w:r w:rsidR="00882645">
        <w:t xml:space="preserve"> A second </w:t>
      </w:r>
      <w:r w:rsidR="004A6C5E">
        <w:t>possible</w:t>
      </w:r>
      <w:r w:rsidR="00882645">
        <w:t xml:space="preserve"> difficulty </w:t>
      </w:r>
      <w:r w:rsidR="004A6C5E">
        <w:t xml:space="preserve">(Gainsburg, </w:t>
      </w:r>
      <w:r w:rsidR="00882645" w:rsidRPr="000E5B2E">
        <w:t>2008)</w:t>
      </w:r>
      <w:r w:rsidR="004A6C5E">
        <w:t xml:space="preserve"> is that</w:t>
      </w:r>
      <w:r w:rsidR="00882645">
        <w:t xml:space="preserve"> </w:t>
      </w:r>
      <w:r w:rsidR="000B1D63">
        <w:t>teachers</w:t>
      </w:r>
      <w:r w:rsidR="0074208E">
        <w:t xml:space="preserve"> </w:t>
      </w:r>
      <w:r w:rsidR="00882645">
        <w:t xml:space="preserve">tend </w:t>
      </w:r>
      <w:r w:rsidR="004A6C5E">
        <w:t xml:space="preserve">not </w:t>
      </w:r>
      <w:r w:rsidR="00882645">
        <w:t xml:space="preserve">to </w:t>
      </w:r>
      <w:r w:rsidR="00882645" w:rsidRPr="000E5B2E">
        <w:t xml:space="preserve">make </w:t>
      </w:r>
      <w:r w:rsidR="00882645">
        <w:t>many</w:t>
      </w:r>
      <w:r w:rsidR="00882645" w:rsidRPr="000E5B2E">
        <w:t xml:space="preserve"> rea</w:t>
      </w:r>
      <w:r w:rsidR="00882645">
        <w:t xml:space="preserve">l-world connections in teaching. </w:t>
      </w:r>
      <w:r w:rsidR="00BA07C5">
        <w:t>One possible solution to this, suggested by the German experience, is to bring together combinations of students, teachers and mathematicians to work on modelling problems</w:t>
      </w:r>
      <w:r w:rsidR="006C19E5">
        <w:t xml:space="preserve"> (</w:t>
      </w:r>
      <w:r w:rsidR="00D125B1" w:rsidRPr="000E5B2E">
        <w:t xml:space="preserve">Kaiser </w:t>
      </w:r>
      <w:r w:rsidR="006C19E5">
        <w:t xml:space="preserve">&amp; Schwarz, 2006). Occasionally the opportunity is created through a </w:t>
      </w:r>
      <w:r w:rsidR="00BA07C5" w:rsidRPr="000E5B2E">
        <w:t>“modelling week”</w:t>
      </w:r>
      <w:r w:rsidR="006C19E5">
        <w:t xml:space="preserve"> (Göttlich, </w:t>
      </w:r>
      <w:r w:rsidR="006C19E5" w:rsidRPr="000E5B2E">
        <w:t>2010</w:t>
      </w:r>
      <w:r w:rsidR="006C19E5">
        <w:t xml:space="preserve">; Heilio, </w:t>
      </w:r>
      <w:r w:rsidR="006C19E5" w:rsidRPr="000E5B2E">
        <w:t>2010</w:t>
      </w:r>
      <w:r w:rsidR="006C19E5">
        <w:t xml:space="preserve">; </w:t>
      </w:r>
      <w:r w:rsidR="006C19E5" w:rsidRPr="000E5B2E">
        <w:t>Kaland et a</w:t>
      </w:r>
      <w:r w:rsidR="006C19E5">
        <w:t xml:space="preserve">l., </w:t>
      </w:r>
      <w:r w:rsidR="006C19E5" w:rsidRPr="000E5B2E">
        <w:t>2010)</w:t>
      </w:r>
      <w:r w:rsidR="00BA07C5" w:rsidRPr="000E5B2E">
        <w:t xml:space="preserve">, </w:t>
      </w:r>
      <w:r w:rsidR="006C19E5">
        <w:t>where</w:t>
      </w:r>
      <w:r w:rsidR="00BA07C5" w:rsidRPr="000E5B2E">
        <w:t xml:space="preserve"> small groups of </w:t>
      </w:r>
      <w:r w:rsidR="006C19E5">
        <w:t xml:space="preserve">school or tertiary </w:t>
      </w:r>
      <w:r w:rsidR="00BA07C5" w:rsidRPr="000E5B2E">
        <w:t xml:space="preserve">students work intensely </w:t>
      </w:r>
      <w:r w:rsidR="006C19E5">
        <w:t xml:space="preserve">for a week, in a supported environment, </w:t>
      </w:r>
      <w:r w:rsidR="00BA07C5" w:rsidRPr="000E5B2E">
        <w:t>on selected</w:t>
      </w:r>
      <w:r w:rsidR="006C19E5">
        <w:t>,</w:t>
      </w:r>
      <w:r w:rsidR="00BA07C5" w:rsidRPr="000E5B2E">
        <w:t xml:space="preserve"> </w:t>
      </w:r>
      <w:r w:rsidR="006C19E5">
        <w:t>authentic modelling problems</w:t>
      </w:r>
      <w:r w:rsidR="00BA07C5" w:rsidRPr="000E5B2E">
        <w:t xml:space="preserve">. </w:t>
      </w:r>
      <w:r w:rsidR="006C19E5">
        <w:t>Other</w:t>
      </w:r>
      <w:r w:rsidR="0058687F">
        <w:t xml:space="preserve"> </w:t>
      </w:r>
      <w:r w:rsidR="006C19E5">
        <w:t>proposals</w:t>
      </w:r>
      <w:r w:rsidR="0058687F">
        <w:t xml:space="preserve"> to assist teachers</w:t>
      </w:r>
      <w:r w:rsidR="006C19E5">
        <w:t xml:space="preserve"> include</w:t>
      </w:r>
      <w:r w:rsidR="0058687F">
        <w:t xml:space="preserve"> </w:t>
      </w:r>
      <w:r w:rsidR="0058687F" w:rsidRPr="000E5B2E">
        <w:t>a scheme for modelling tasks</w:t>
      </w:r>
      <w:r w:rsidR="0058687F">
        <w:t xml:space="preserve"> that</w:t>
      </w:r>
      <w:r w:rsidR="0058687F" w:rsidRPr="000E5B2E">
        <w:t xml:space="preserve"> provide</w:t>
      </w:r>
      <w:r w:rsidR="0058687F">
        <w:t>s</w:t>
      </w:r>
      <w:r w:rsidR="0058687F" w:rsidRPr="000E5B2E">
        <w:t xml:space="preserve"> an overview of the</w:t>
      </w:r>
      <w:r w:rsidR="006C19E5">
        <w:t>ir</w:t>
      </w:r>
      <w:r w:rsidR="0058687F" w:rsidRPr="000E5B2E">
        <w:t xml:space="preserve"> different features, </w:t>
      </w:r>
      <w:r w:rsidR="00B36C4E">
        <w:t xml:space="preserve">thus </w:t>
      </w:r>
      <w:r w:rsidR="0058687F" w:rsidRPr="000E5B2E">
        <w:t>offering guidance in task design and selection processes for specific aims and predefine</w:t>
      </w:r>
      <w:r w:rsidR="0058687F">
        <w:t>d objectives and target groups</w:t>
      </w:r>
      <w:r w:rsidR="006C19E5">
        <w:t xml:space="preserve"> (Maaß, </w:t>
      </w:r>
      <w:r w:rsidR="006C19E5" w:rsidRPr="000E5B2E">
        <w:t>2010)</w:t>
      </w:r>
      <w:r w:rsidR="006C19E5">
        <w:t xml:space="preserve"> and the integration of m</w:t>
      </w:r>
      <w:r w:rsidR="006C19E5" w:rsidRPr="000E5B2E">
        <w:t xml:space="preserve">athematical modelling into </w:t>
      </w:r>
      <w:r w:rsidR="006C19E5">
        <w:t xml:space="preserve">pre-service </w:t>
      </w:r>
      <w:r w:rsidR="006C19E5" w:rsidRPr="000E5B2E">
        <w:t xml:space="preserve">teacher </w:t>
      </w:r>
      <w:r w:rsidR="006C19E5">
        <w:t>education</w:t>
      </w:r>
      <w:r w:rsidR="00272595">
        <w:t xml:space="preserve"> </w:t>
      </w:r>
      <w:r w:rsidR="006C19E5">
        <w:t xml:space="preserve">(Bracke, </w:t>
      </w:r>
      <w:r w:rsidR="00272595" w:rsidRPr="000E5B2E">
        <w:t>2010)</w:t>
      </w:r>
      <w:r w:rsidR="006C19E5">
        <w:t>.</w:t>
      </w:r>
      <w:r w:rsidR="00272595" w:rsidRPr="000E5B2E">
        <w:t xml:space="preserve"> </w:t>
      </w:r>
    </w:p>
    <w:p w14:paraId="14655EB9" w14:textId="5C25D26C" w:rsidR="00322038" w:rsidRDefault="00BD732D" w:rsidP="0058516E">
      <w:pPr>
        <w:pStyle w:val="ICMENormal"/>
      </w:pPr>
      <w:r>
        <w:t>Some difference</w:t>
      </w:r>
      <w:r w:rsidR="00BF0D69">
        <w:t>s</w:t>
      </w:r>
      <w:r>
        <w:t xml:space="preserve"> between problem solving at sch</w:t>
      </w:r>
      <w:r w:rsidR="00BA07C5">
        <w:t>ool and university are i</w:t>
      </w:r>
      <w:r>
        <w:t xml:space="preserve">dentified by Perrenet </w:t>
      </w:r>
      <w:r w:rsidRPr="000E5B2E">
        <w:t>and Taconis (2009)</w:t>
      </w:r>
      <w:r>
        <w:t>, who investigated</w:t>
      </w:r>
      <w:r w:rsidRPr="000E5B2E">
        <w:t xml:space="preserve"> changes in mathematical problem-solving beliefs and behaviour of mathematics students during the yea</w:t>
      </w:r>
      <w:r>
        <w:t>rs after en</w:t>
      </w:r>
      <w:r w:rsidR="0074208E">
        <w:t>tering university. S</w:t>
      </w:r>
      <w:r w:rsidRPr="000E5B2E">
        <w:t xml:space="preserve">ignificant </w:t>
      </w:r>
      <w:r w:rsidRPr="000E5B2E">
        <w:lastRenderedPageBreak/>
        <w:t xml:space="preserve">shifts </w:t>
      </w:r>
      <w:r w:rsidR="0074208E">
        <w:t xml:space="preserve">in </w:t>
      </w:r>
      <w:r w:rsidRPr="000E5B2E">
        <w:t>the growth of attention to metacognitive aspects in problem-solving or the growth of the belief that problem-solving is not only routine but</w:t>
      </w:r>
      <w:r>
        <w:t xml:space="preserve"> has many productive aspects</w:t>
      </w:r>
      <w:r w:rsidR="0074208E">
        <w:t xml:space="preserve"> were explained</w:t>
      </w:r>
      <w:r w:rsidRPr="000E5B2E">
        <w:t xml:space="preserve"> by the </w:t>
      </w:r>
      <w:r>
        <w:t xml:space="preserve">change </w:t>
      </w:r>
      <w:r w:rsidR="0074208E">
        <w:t>to authentic</w:t>
      </w:r>
      <w:r w:rsidRPr="000E5B2E">
        <w:t xml:space="preserve"> mathematics problems at university compared to secondary school mathematics problems</w:t>
      </w:r>
      <w:r w:rsidR="0074208E">
        <w:t>.</w:t>
      </w:r>
      <w:r w:rsidR="00C758FC">
        <w:t xml:space="preserve"> </w:t>
      </w:r>
    </w:p>
    <w:p w14:paraId="73920B4A" w14:textId="0F301A25" w:rsidR="00D125B1" w:rsidRDefault="00DC2A33" w:rsidP="00D125B1">
      <w:pPr>
        <w:pStyle w:val="ICMENormal"/>
      </w:pPr>
      <w:r>
        <w:t xml:space="preserve">There is some agreement that there is a need to target curriculum changes in the upper secondary school to </w:t>
      </w:r>
      <w:r w:rsidR="00A80F1E">
        <w:t>include</w:t>
      </w:r>
      <w:r w:rsidR="00A06CAC">
        <w:t xml:space="preserve"> more modelling activities, although recognising that h</w:t>
      </w:r>
      <w:r w:rsidR="00A06CAC" w:rsidRPr="000E5B2E">
        <w:t>igh-stakes assessment at the upper secondary-tertiary interface is an unresolved problem</w:t>
      </w:r>
      <w:r>
        <w:t xml:space="preserve"> </w:t>
      </w:r>
      <w:r w:rsidR="00A06CAC">
        <w:t>in any implementation</w:t>
      </w:r>
      <w:r w:rsidR="003F0EE3">
        <w:t xml:space="preserve"> </w:t>
      </w:r>
      <w:r w:rsidR="00A06CAC">
        <w:t xml:space="preserve">(Stillman, </w:t>
      </w:r>
      <w:r w:rsidR="003F0EE3" w:rsidRPr="000E5B2E">
        <w:t>2007)</w:t>
      </w:r>
      <w:r w:rsidR="00A06CAC">
        <w:t>.</w:t>
      </w:r>
      <w:r w:rsidR="007A25FB">
        <w:t xml:space="preserve"> </w:t>
      </w:r>
      <w:r w:rsidR="003F0EE3">
        <w:t>Other p</w:t>
      </w:r>
      <w:r>
        <w:t xml:space="preserve">ossible initiatives </w:t>
      </w:r>
      <w:r w:rsidR="00C93B9B">
        <w:t>for embedding modeling in the curriculum</w:t>
      </w:r>
      <w:r>
        <w:t xml:space="preserve"> suggested by </w:t>
      </w:r>
      <w:r w:rsidRPr="000E5B2E">
        <w:t xml:space="preserve">Stillman and Ng (2010) </w:t>
      </w:r>
      <w:r w:rsidR="00C93B9B">
        <w:t>are:</w:t>
      </w:r>
      <w:r>
        <w:t xml:space="preserve"> </w:t>
      </w:r>
      <w:r w:rsidR="00C93B9B">
        <w:t xml:space="preserve">a </w:t>
      </w:r>
      <w:r>
        <w:t>system</w:t>
      </w:r>
      <w:r w:rsidR="00D125B1">
        <w:t>-</w:t>
      </w:r>
      <w:r>
        <w:t>wide focus emphasis</w:t>
      </w:r>
      <w:r w:rsidRPr="000E5B2E">
        <w:t>ing an applications and modelling approach to teaching and assessing all mathematics subjects in the last two years of pre-tertiary schooling</w:t>
      </w:r>
      <w:r w:rsidR="00A77E9B">
        <w:t>; and</w:t>
      </w:r>
      <w:r>
        <w:t xml:space="preserve"> </w:t>
      </w:r>
      <w:r w:rsidRPr="000E5B2E">
        <w:t xml:space="preserve">interdisciplinary project work from upper primary through secondary </w:t>
      </w:r>
      <w:r>
        <w:t>school</w:t>
      </w:r>
      <w:r w:rsidR="00A77E9B">
        <w:t>,</w:t>
      </w:r>
      <w:r>
        <w:t xml:space="preserve"> with </w:t>
      </w:r>
      <w:r w:rsidRPr="000E5B2E">
        <w:t xml:space="preserve">mathematics </w:t>
      </w:r>
      <w:r>
        <w:t>as the anchor subject</w:t>
      </w:r>
      <w:r w:rsidRPr="000E5B2E">
        <w:t>.</w:t>
      </w:r>
      <w:r w:rsidR="000956F9">
        <w:t xml:space="preserve"> Another initiative presented by </w:t>
      </w:r>
      <w:r w:rsidR="000956F9" w:rsidRPr="000E5B2E">
        <w:t xml:space="preserve">Maaß and Mischo (2011) </w:t>
      </w:r>
      <w:r w:rsidR="000956F9">
        <w:t>is</w:t>
      </w:r>
      <w:r w:rsidR="000956F9" w:rsidRPr="000E5B2E">
        <w:t xml:space="preserve"> the framework and methods of the project STRATUM (Strategies for Teaching Understanding in and </w:t>
      </w:r>
      <w:r w:rsidR="000956F9">
        <w:t>through Modelling), whose aim</w:t>
      </w:r>
      <w:r w:rsidR="000956F9" w:rsidRPr="000E5B2E">
        <w:t xml:space="preserve"> is to design and evaluate teaching units for supporting the development of modelling competencies in low-achieving students at the German Hauptschule.</w:t>
      </w:r>
      <w:r w:rsidR="0058687F">
        <w:t xml:space="preserve"> Also, i</w:t>
      </w:r>
      <w:r>
        <w:t xml:space="preserve">n the USA, </w:t>
      </w:r>
      <w:r w:rsidRPr="000E5B2E">
        <w:t xml:space="preserve">Leavitt and Ahn (2010) </w:t>
      </w:r>
      <w:r>
        <w:t>have provided</w:t>
      </w:r>
      <w:r w:rsidRPr="000E5B2E">
        <w:t xml:space="preserve"> a </w:t>
      </w:r>
      <w:r>
        <w:t>teacher’s guide to</w:t>
      </w:r>
      <w:r w:rsidRPr="000E5B2E">
        <w:t xml:space="preserve"> implementation strategies for Model Eliciting Activities (MEAs)</w:t>
      </w:r>
      <w:r>
        <w:t>,</w:t>
      </w:r>
      <w:r w:rsidRPr="000E5B2E">
        <w:t xml:space="preserve"> which </w:t>
      </w:r>
      <w:r>
        <w:t>are becoming</w:t>
      </w:r>
      <w:r w:rsidRPr="000E5B2E">
        <w:t xml:space="preserve"> more pop</w:t>
      </w:r>
      <w:r>
        <w:t>ular in secondary schools</w:t>
      </w:r>
      <w:r w:rsidRPr="000E5B2E">
        <w:t>.</w:t>
      </w:r>
      <w:r>
        <w:t xml:space="preserve"> </w:t>
      </w:r>
      <w:r w:rsidR="00A80F1E">
        <w:t xml:space="preserve">Another arena that </w:t>
      </w:r>
      <w:r w:rsidR="00A80F1E" w:rsidRPr="000E5B2E">
        <w:t xml:space="preserve">might </w:t>
      </w:r>
      <w:r w:rsidR="00A80F1E">
        <w:t>prove</w:t>
      </w:r>
      <w:r w:rsidR="00A80F1E" w:rsidRPr="000E5B2E">
        <w:t xml:space="preserve"> helpful to </w:t>
      </w:r>
      <w:r w:rsidR="00A80F1E">
        <w:t xml:space="preserve">students making </w:t>
      </w:r>
      <w:r w:rsidR="00A80F1E" w:rsidRPr="000E5B2E">
        <w:t xml:space="preserve">the secondary-tertiary transition in mathematical modelling and applications </w:t>
      </w:r>
      <w:r w:rsidR="00A80F1E">
        <w:t xml:space="preserve">is entry to </w:t>
      </w:r>
      <w:r w:rsidR="00A80F1E" w:rsidRPr="000E5B2E">
        <w:t>contests in mathematical modelling and applications</w:t>
      </w:r>
      <w:r w:rsidR="00A77E9B">
        <w:t xml:space="preserve"> </w:t>
      </w:r>
      <w:r w:rsidR="00D125B1" w:rsidRPr="000E5B2E">
        <w:t>(Xie, 2010).</w:t>
      </w:r>
    </w:p>
    <w:p w14:paraId="505CE7B1" w14:textId="17314E71" w:rsidR="00984246" w:rsidRPr="00A77E9B" w:rsidRDefault="00984246" w:rsidP="00C102D9">
      <w:pPr>
        <w:pStyle w:val="ICMEHeading3"/>
      </w:pPr>
      <w:r w:rsidRPr="00A77E9B">
        <w:t>Conclusion</w:t>
      </w:r>
    </w:p>
    <w:p w14:paraId="2B1DC9C8" w14:textId="397B2A16" w:rsidR="00E367DF" w:rsidRDefault="00E367DF" w:rsidP="0058516E">
      <w:pPr>
        <w:pStyle w:val="ICMENormal"/>
      </w:pPr>
      <w:r>
        <w:t xml:space="preserve">The literature review </w:t>
      </w:r>
      <w:r w:rsidR="004F7E21">
        <w:t xml:space="preserve">presented here </w:t>
      </w:r>
      <w:r w:rsidR="00EE137E">
        <w:t>reveals</w:t>
      </w:r>
      <w:r>
        <w:t xml:space="preserve"> a multi-faceted web of cognitive, curricular and pedagogical issues, some spanning across mathematical topics and some intrinsic to certain topics</w:t>
      </w:r>
      <w:r w:rsidR="00365B8B">
        <w:t xml:space="preserve"> – and certainly exhibiting variation across the institutional contexts of the many countries our survey focused on</w:t>
      </w:r>
      <w:r>
        <w:t>. For example, most of the research we reviewed discusses the students’ limited cognitive preparedness for the requirements of university-level formal mathematical thinking (whether this concerns the abstraction, for example, within Abstract Algebra courses or the formalism of Analysis). Within other areas, such as discrete mathematics, much of the research we reviewed highlighted that students may arrive at university with little or no awareness of certain mathematical fields.</w:t>
      </w:r>
    </w:p>
    <w:p w14:paraId="7BDEB2E9" w14:textId="450A6B81" w:rsidR="00425B7D" w:rsidRPr="0072512D" w:rsidRDefault="00425B7D" w:rsidP="0058516E">
      <w:pPr>
        <w:pStyle w:val="ICMENormal"/>
      </w:pPr>
      <w:r>
        <w:t>The literature review presented in this r</w:t>
      </w:r>
      <w:r w:rsidR="00B75E32">
        <w:t>eport, or the longer version</w:t>
      </w:r>
      <w:r w:rsidR="00EE137E">
        <w:rPr>
          <w:vertAlign w:val="superscript"/>
        </w:rPr>
        <w:t>1</w:t>
      </w:r>
      <w:r w:rsidR="00B75E32">
        <w:t xml:space="preserve">, </w:t>
      </w:r>
      <w:r>
        <w:t xml:space="preserve">is certainly not exhaustive. However we believe it is reasonable to claim that the bulk of research </w:t>
      </w:r>
      <w:r w:rsidR="00326710">
        <w:t xml:space="preserve">on transition </w:t>
      </w:r>
      <w:r>
        <w:t xml:space="preserve">is in </w:t>
      </w:r>
      <w:r w:rsidR="004F7E21">
        <w:t>a few</w:t>
      </w:r>
      <w:r>
        <w:t xml:space="preserve"> areas (e.g. calculus, proof) and that there is little research in other areas (e.g. discrete mathematics). While this might simply reflect curricular emphases in the various countries that our survey focused on, it also indicates directions that future research may need to pursue. Furthermore across the preceding sections a pattern seems to emerge with regard to </w:t>
      </w:r>
      <w:r>
        <w:rPr>
          <w:i/>
        </w:rPr>
        <w:t>how</w:t>
      </w:r>
      <w:r w:rsidRPr="003301AF">
        <w:t>,</w:t>
      </w:r>
      <w:r>
        <w:t xml:space="preserve"> not merely </w:t>
      </w:r>
      <w:r w:rsidRPr="003301AF">
        <w:rPr>
          <w:i/>
        </w:rPr>
        <w:t>what</w:t>
      </w:r>
      <w:r>
        <w:t>, students experience in their first encounters with advanced mathematical topics, whether at school or at university.</w:t>
      </w:r>
      <w:r w:rsidR="00013A0C">
        <w:t xml:space="preserve"> </w:t>
      </w:r>
      <w:r w:rsidR="002B6F83">
        <w:t xml:space="preserve">Fundamental to addressing issues of transition seems also to be the coordination and dialogue across educational levels </w:t>
      </w:r>
      <w:r w:rsidR="00506C31">
        <w:t>–</w:t>
      </w:r>
      <w:r w:rsidR="002B6F83">
        <w:t xml:space="preserve"> here mostly secondary and tertiary </w:t>
      </w:r>
      <w:r w:rsidR="00506C31">
        <w:t>–</w:t>
      </w:r>
      <w:r w:rsidR="002B6F83">
        <w:t xml:space="preserve"> and our survey revealed that at the moment </w:t>
      </w:r>
      <w:r w:rsidR="009401A6">
        <w:t>this appears</w:t>
      </w:r>
      <w:r w:rsidR="00506C31">
        <w:t xml:space="preserve"> </w:t>
      </w:r>
      <w:r w:rsidR="002B6F83">
        <w:t>largely absent.</w:t>
      </w:r>
    </w:p>
    <w:p w14:paraId="2816D04F" w14:textId="72ECA0F0" w:rsidR="008E2564" w:rsidRDefault="008E2564" w:rsidP="008E2564">
      <w:pPr>
        <w:pStyle w:val="ICMEHeading2"/>
        <w:rPr>
          <w:lang w:eastAsia="zh-CN"/>
        </w:rPr>
      </w:pPr>
      <w:r>
        <w:rPr>
          <w:lang w:eastAsia="zh-CN"/>
        </w:rPr>
        <w:lastRenderedPageBreak/>
        <w:t>acknowledg</w:t>
      </w:r>
      <w:r w:rsidR="00A955CA">
        <w:rPr>
          <w:lang w:eastAsia="zh-CN"/>
        </w:rPr>
        <w:t>E</w:t>
      </w:r>
      <w:r>
        <w:rPr>
          <w:lang w:eastAsia="zh-CN"/>
        </w:rPr>
        <w:t>ment</w:t>
      </w:r>
    </w:p>
    <w:p w14:paraId="0E423C6C" w14:textId="7F7A3C42" w:rsidR="008E2564" w:rsidRPr="00482ED4" w:rsidRDefault="008E2564" w:rsidP="00946E35">
      <w:pPr>
        <w:pStyle w:val="ICMENormal"/>
        <w:rPr>
          <w:lang w:eastAsia="en-US"/>
        </w:rPr>
      </w:pPr>
      <w:r>
        <w:rPr>
          <w:lang w:eastAsia="zh-CN"/>
        </w:rPr>
        <w:t xml:space="preserve">We would like to acknowledge the assistance of </w:t>
      </w:r>
      <w:r w:rsidR="00946E35" w:rsidRPr="00946E35">
        <w:t>Michèle</w:t>
      </w:r>
      <w:r w:rsidR="00946E35">
        <w:t xml:space="preserve"> </w:t>
      </w:r>
      <w:r>
        <w:rPr>
          <w:lang w:eastAsia="zh-CN"/>
        </w:rPr>
        <w:t xml:space="preserve">Artigue and the </w:t>
      </w:r>
      <w:r>
        <w:t>group “Enseignement supérieur” of the Laboratory André Revuz at the University Paris 7, including members from other universities, in the preparation of this report.</w:t>
      </w:r>
    </w:p>
    <w:p w14:paraId="25ED8ED2" w14:textId="77777777" w:rsidR="009654A0" w:rsidRPr="0073749E" w:rsidRDefault="009654A0" w:rsidP="009654A0">
      <w:pPr>
        <w:pStyle w:val="ICMEHeading2"/>
        <w:rPr>
          <w:lang w:val="en-US" w:eastAsia="ja-JP"/>
        </w:rPr>
      </w:pPr>
      <w:r w:rsidRPr="0073749E">
        <w:rPr>
          <w:lang w:val="en-US" w:eastAsia="ja-JP"/>
        </w:rPr>
        <w:t>References</w:t>
      </w:r>
    </w:p>
    <w:p w14:paraId="62FD937A" w14:textId="77777777" w:rsidR="00523677" w:rsidRPr="008B4349" w:rsidRDefault="00523677" w:rsidP="00C5240A">
      <w:pPr>
        <w:pStyle w:val="ICMEReference"/>
        <w:rPr>
          <w:color w:val="000000"/>
        </w:rPr>
      </w:pPr>
      <w:r w:rsidRPr="008B4349">
        <w:t>Alcock, L., &amp; Inglis, M. (2008). Doctoral students</w:t>
      </w:r>
      <w:r w:rsidRPr="008B4349">
        <w:rPr>
          <w:i/>
          <w:iCs/>
        </w:rPr>
        <w:t xml:space="preserve">’ </w:t>
      </w:r>
      <w:r w:rsidRPr="008B4349">
        <w:t xml:space="preserve">use of examples in evaluating and proving conjectures. </w:t>
      </w:r>
      <w:r w:rsidRPr="008B4349">
        <w:rPr>
          <w:i/>
          <w:color w:val="131313"/>
        </w:rPr>
        <w:t>Educational Studies in Mathematics, 69</w:t>
      </w:r>
      <w:r w:rsidRPr="008B4349">
        <w:rPr>
          <w:color w:val="131313"/>
        </w:rPr>
        <w:t>, 111-129.</w:t>
      </w:r>
    </w:p>
    <w:p w14:paraId="350F9693" w14:textId="6063BD6B" w:rsidR="00523677" w:rsidRPr="008B4349" w:rsidRDefault="00523677" w:rsidP="00C5240A">
      <w:pPr>
        <w:pStyle w:val="ICMEReference"/>
      </w:pPr>
      <w:r w:rsidRPr="008B4349">
        <w:t xml:space="preserve">Alcock, L., &amp; Inglis, M. (2009). Representation systems and undergraduate proof production: A comment on Weber. </w:t>
      </w:r>
      <w:r w:rsidRPr="008B4349">
        <w:rPr>
          <w:i/>
        </w:rPr>
        <w:t>Journal of Mathematical Behavior,</w:t>
      </w:r>
      <w:r w:rsidRPr="008B4349">
        <w:t xml:space="preserve"> </w:t>
      </w:r>
      <w:r w:rsidRPr="008B4349">
        <w:rPr>
          <w:i/>
        </w:rPr>
        <w:t>28</w:t>
      </w:r>
      <w:r w:rsidRPr="008B4349">
        <w:t>, 209-2</w:t>
      </w:r>
      <w:r w:rsidR="00946E35" w:rsidRPr="008B4349">
        <w:t>1</w:t>
      </w:r>
      <w:r w:rsidRPr="008B4349">
        <w:t>1.</w:t>
      </w:r>
    </w:p>
    <w:p w14:paraId="66495F38" w14:textId="2C9722F1" w:rsidR="00523677" w:rsidRPr="008B4349" w:rsidRDefault="00523677" w:rsidP="00C5240A">
      <w:pPr>
        <w:pStyle w:val="ICMEReference"/>
      </w:pPr>
      <w:r w:rsidRPr="008B4349">
        <w:t>Antonini, S., &amp; Mariotti, M. A. (2008). Indirect proof: What is specific to this way of proving?</w:t>
      </w:r>
      <w:r w:rsidRPr="008B4349">
        <w:rPr>
          <w:i/>
          <w:color w:val="131313"/>
        </w:rPr>
        <w:t xml:space="preserve"> ZDM – The International Journal on Mathematics Education, 40,</w:t>
      </w:r>
      <w:r w:rsidRPr="008B4349">
        <w:rPr>
          <w:color w:val="131313"/>
        </w:rPr>
        <w:t xml:space="preserve"> 401-412.</w:t>
      </w:r>
    </w:p>
    <w:p w14:paraId="27D6D437" w14:textId="1E1AD8AF" w:rsidR="00523677" w:rsidRPr="008B4349" w:rsidRDefault="00523677" w:rsidP="00C5240A">
      <w:pPr>
        <w:pStyle w:val="ICMEReference"/>
        <w:rPr>
          <w:lang w:eastAsia="zh-CN"/>
        </w:rPr>
      </w:pPr>
      <w:r w:rsidRPr="008B4349">
        <w:t xml:space="preserve">Ärlebäck J. B., </w:t>
      </w:r>
      <w:r w:rsidR="00376A14" w:rsidRPr="008B4349">
        <w:t xml:space="preserve">&amp; </w:t>
      </w:r>
      <w:r w:rsidRPr="008B4349">
        <w:t>Frejd P. (2010). First results from a study investigating Swedish upper</w:t>
      </w:r>
      <w:r w:rsidRPr="008B4349">
        <w:rPr>
          <w:lang w:eastAsia="zh-CN"/>
        </w:rPr>
        <w:t xml:space="preserve"> </w:t>
      </w:r>
      <w:r w:rsidRPr="008B4349">
        <w:t>secondary students’ mathematical modelling competencies</w:t>
      </w:r>
      <w:r w:rsidRPr="008B4349">
        <w:rPr>
          <w:lang w:eastAsia="zh-CN"/>
        </w:rPr>
        <w:t xml:space="preserve">. </w:t>
      </w:r>
      <w:r w:rsidRPr="008B4349">
        <w:rPr>
          <w:bCs/>
          <w:lang w:eastAsia="zh-CN"/>
        </w:rPr>
        <w:t>In</w:t>
      </w:r>
      <w:r w:rsidR="00376A14" w:rsidRPr="008B4349">
        <w:rPr>
          <w:bCs/>
          <w:lang w:eastAsia="zh-CN"/>
        </w:rPr>
        <w:t xml:space="preserve"> A.</w:t>
      </w:r>
      <w:r w:rsidRPr="008B4349">
        <w:rPr>
          <w:bCs/>
          <w:lang w:eastAsia="zh-CN"/>
        </w:rPr>
        <w:t xml:space="preserve"> </w:t>
      </w:r>
      <w:r w:rsidRPr="008B4349">
        <w:t>Araújo</w:t>
      </w:r>
      <w:r w:rsidR="00376A14" w:rsidRPr="008B4349">
        <w:t>,</w:t>
      </w:r>
      <w:r w:rsidRPr="008B4349">
        <w:t xml:space="preserve"> </w:t>
      </w:r>
      <w:r w:rsidR="00376A14" w:rsidRPr="008B4349">
        <w:t xml:space="preserve">A. </w:t>
      </w:r>
      <w:r w:rsidRPr="008B4349">
        <w:t xml:space="preserve">Fernandes, </w:t>
      </w:r>
      <w:r w:rsidR="00376A14" w:rsidRPr="008B4349">
        <w:t xml:space="preserve">A. </w:t>
      </w:r>
      <w:r w:rsidRPr="008B4349">
        <w:t xml:space="preserve">Azevedo, </w:t>
      </w:r>
      <w:r w:rsidR="00376A14" w:rsidRPr="008B4349">
        <w:t xml:space="preserve">&amp; J. F. </w:t>
      </w:r>
      <w:r w:rsidRPr="008B4349">
        <w:t>Rodrigues (Eds.)</w:t>
      </w:r>
      <w:r w:rsidR="00376A14" w:rsidRPr="008B4349">
        <w:t>,</w:t>
      </w:r>
      <w:r w:rsidRPr="008B4349">
        <w:t xml:space="preserve"> </w:t>
      </w:r>
      <w:r w:rsidRPr="008B4349">
        <w:rPr>
          <w:i/>
          <w:lang w:eastAsia="zh-CN"/>
        </w:rPr>
        <w:t>EI</w:t>
      </w:r>
      <w:r w:rsidRPr="008B4349">
        <w:rPr>
          <w:i/>
        </w:rPr>
        <w:t>MI 2010 Conference (educational interfaces between mathematics and industry) Proceedings.</w:t>
      </w:r>
      <w:r w:rsidRPr="008B4349">
        <w:t xml:space="preserve"> Comap Inc., Bedford, MA, USA.</w:t>
      </w:r>
    </w:p>
    <w:p w14:paraId="779818E5" w14:textId="710B5BA3" w:rsidR="00523677" w:rsidRPr="008B4349" w:rsidRDefault="00523677" w:rsidP="00C5240A">
      <w:pPr>
        <w:pStyle w:val="ICMEReference"/>
      </w:pPr>
      <w:r w:rsidRPr="008B4349">
        <w:t>Artigue</w:t>
      </w:r>
      <w:r w:rsidR="00376A14" w:rsidRPr="008B4349">
        <w:t>,</w:t>
      </w:r>
      <w:r w:rsidRPr="008B4349">
        <w:t xml:space="preserve"> M. (2008). Continu, Discontinu en mathématiques: </w:t>
      </w:r>
      <w:r w:rsidR="00376A14" w:rsidRPr="008B4349">
        <w:t>Q</w:t>
      </w:r>
      <w:r w:rsidRPr="008B4349">
        <w:t xml:space="preserve">uelles perceptions en ont les élèves et les étudiants? In L. Viennot (Ed.), </w:t>
      </w:r>
      <w:r w:rsidRPr="008B4349">
        <w:rPr>
          <w:i/>
        </w:rPr>
        <w:t>Didactique, épistémologie et histoire des sciences. Penser l’enseignement</w:t>
      </w:r>
      <w:r w:rsidRPr="008B4349">
        <w:t xml:space="preserve"> </w:t>
      </w:r>
      <w:r w:rsidR="00376A14" w:rsidRPr="008B4349">
        <w:t>(</w:t>
      </w:r>
      <w:r w:rsidRPr="008B4349">
        <w:t>pp. 151-173</w:t>
      </w:r>
      <w:r w:rsidR="00376A14" w:rsidRPr="008B4349">
        <w:t>)</w:t>
      </w:r>
      <w:r w:rsidRPr="008B4349">
        <w:t xml:space="preserve">. Paris: Presses Universitaires de France. </w:t>
      </w:r>
    </w:p>
    <w:p w14:paraId="20FFFE02" w14:textId="5BC76DBB" w:rsidR="00523677" w:rsidRPr="008B4349" w:rsidRDefault="00523677" w:rsidP="00C5240A">
      <w:pPr>
        <w:pStyle w:val="ICMEReference"/>
      </w:pPr>
      <w:r w:rsidRPr="008B4349">
        <w:t>Artigue</w:t>
      </w:r>
      <w:r w:rsidR="00376A14" w:rsidRPr="008B4349">
        <w:t>,</w:t>
      </w:r>
      <w:r w:rsidRPr="008B4349">
        <w:t xml:space="preserve"> M. (2009). L’enseignement des fonctions à la transition lycée – université. In B. Grugeon (</w:t>
      </w:r>
      <w:r w:rsidR="00376A14" w:rsidRPr="008B4349">
        <w:t>E</w:t>
      </w:r>
      <w:r w:rsidRPr="008B4349">
        <w:t xml:space="preserve">d.), </w:t>
      </w:r>
      <w:r w:rsidRPr="008B4349">
        <w:rPr>
          <w:i/>
        </w:rPr>
        <w:t>Actes du XV</w:t>
      </w:r>
      <w:r w:rsidRPr="008B4349">
        <w:rPr>
          <w:i/>
          <w:vertAlign w:val="superscript"/>
        </w:rPr>
        <w:t>e</w:t>
      </w:r>
      <w:r w:rsidRPr="008B4349">
        <w:rPr>
          <w:i/>
        </w:rPr>
        <w:t xml:space="preserve"> Colloque CORFEM 2008, </w:t>
      </w:r>
      <w:r w:rsidRPr="008B4349">
        <w:t xml:space="preserve">pp. 25-44. Université de Cergy-Pontoise, IUFM de Versailles. </w:t>
      </w:r>
    </w:p>
    <w:p w14:paraId="475A7EAA" w14:textId="4BBB26A3" w:rsidR="00523677" w:rsidRPr="008B4349" w:rsidRDefault="00376A14" w:rsidP="00C5240A">
      <w:pPr>
        <w:pStyle w:val="ICMEReference"/>
      </w:pPr>
      <w:r w:rsidRPr="008B4349">
        <w:t>Asiala, M., Dubinsky, E., Mathews, D., Morics, S. &amp; Oktac, A.</w:t>
      </w:r>
      <w:r w:rsidR="00523677" w:rsidRPr="008B4349">
        <w:t xml:space="preserve"> (1997). Development of students</w:t>
      </w:r>
      <w:r w:rsidRPr="008B4349">
        <w:t>’</w:t>
      </w:r>
      <w:r w:rsidR="00523677" w:rsidRPr="008B4349">
        <w:t xml:space="preserve"> understanding of cosets, normality and quotient groups. </w:t>
      </w:r>
      <w:r w:rsidR="00523677" w:rsidRPr="008B4349">
        <w:rPr>
          <w:i/>
        </w:rPr>
        <w:t>Journal of Mathematical Behavior</w:t>
      </w:r>
      <w:r w:rsidRPr="008B4349">
        <w:rPr>
          <w:i/>
        </w:rPr>
        <w:t>,</w:t>
      </w:r>
      <w:r w:rsidR="00523677" w:rsidRPr="008B4349">
        <w:t xml:space="preserve"> </w:t>
      </w:r>
      <w:r w:rsidR="00523677" w:rsidRPr="008B4349">
        <w:rPr>
          <w:bCs/>
          <w:i/>
        </w:rPr>
        <w:t>16</w:t>
      </w:r>
      <w:r w:rsidR="00523677" w:rsidRPr="008B4349">
        <w:t>(3)</w:t>
      </w:r>
      <w:r w:rsidRPr="008B4349">
        <w:t>,</w:t>
      </w:r>
      <w:r w:rsidR="00523677" w:rsidRPr="008B4349">
        <w:t xml:space="preserve"> 241-309.</w:t>
      </w:r>
    </w:p>
    <w:p w14:paraId="75BA1DA4" w14:textId="65C6186C" w:rsidR="00523677" w:rsidRPr="008B4349" w:rsidRDefault="00523677" w:rsidP="00C5240A">
      <w:pPr>
        <w:pStyle w:val="ICMEReference"/>
        <w:rPr>
          <w:lang w:val="fr-FR"/>
        </w:rPr>
      </w:pPr>
      <w:r w:rsidRPr="008B4349">
        <w:t xml:space="preserve">Balacheff N., </w:t>
      </w:r>
      <w:r w:rsidR="00CC4571" w:rsidRPr="008B4349">
        <w:t xml:space="preserve">&amp; </w:t>
      </w:r>
      <w:r w:rsidRPr="008B4349">
        <w:t>Gaudin</w:t>
      </w:r>
      <w:r w:rsidRPr="008B4349">
        <w:rPr>
          <w:smallCaps/>
        </w:rPr>
        <w:t xml:space="preserve"> </w:t>
      </w:r>
      <w:r w:rsidRPr="008B4349">
        <w:t>N</w:t>
      </w:r>
      <w:r w:rsidRPr="008B4349">
        <w:rPr>
          <w:smallCaps/>
        </w:rPr>
        <w:t>.</w:t>
      </w:r>
      <w:r w:rsidRPr="008B4349">
        <w:t xml:space="preserve"> (2002)</w:t>
      </w:r>
      <w:r w:rsidR="00CC4571" w:rsidRPr="008B4349">
        <w:t>.</w:t>
      </w:r>
      <w:r w:rsidRPr="008B4349">
        <w:t xml:space="preserve"> </w:t>
      </w:r>
      <w:r w:rsidRPr="008B4349">
        <w:rPr>
          <w:i/>
        </w:rPr>
        <w:t xml:space="preserve">Students conceptions: </w:t>
      </w:r>
      <w:r w:rsidR="00CC4571" w:rsidRPr="008B4349">
        <w:rPr>
          <w:i/>
        </w:rPr>
        <w:t>A</w:t>
      </w:r>
      <w:r w:rsidRPr="008B4349">
        <w:rPr>
          <w:i/>
        </w:rPr>
        <w:t>n introduction to a formal characterization</w:t>
      </w:r>
      <w:r w:rsidRPr="008B4349">
        <w:t xml:space="preserve">. </w:t>
      </w:r>
      <w:r w:rsidRPr="008B4349">
        <w:rPr>
          <w:lang w:val="fr-FR"/>
        </w:rPr>
        <w:t xml:space="preserve">Cahier Leibniz, Numéro 65, Publication de Université Joseph Fourrier. </w:t>
      </w:r>
      <w:hyperlink r:id="rId15" w:history="1">
        <w:r w:rsidRPr="008B4349">
          <w:rPr>
            <w:rStyle w:val="Hyperlink"/>
          </w:rPr>
          <w:t>http://halshs.archives-ouvertes.fr/hal-00190425_v1/</w:t>
        </w:r>
      </w:hyperlink>
      <w:r w:rsidRPr="008B4349">
        <w:rPr>
          <w:lang w:val="fr-FR"/>
        </w:rPr>
        <w:t xml:space="preserve"> </w:t>
      </w:r>
    </w:p>
    <w:p w14:paraId="00100D46" w14:textId="77777777" w:rsidR="00523677" w:rsidRPr="008B4349" w:rsidRDefault="00523677" w:rsidP="00C5240A">
      <w:pPr>
        <w:pStyle w:val="ICMEReference"/>
      </w:pPr>
      <w:r w:rsidRPr="008B4349">
        <w:t xml:space="preserve">Balacheff, N. (2008). The role of the researcher’s epistemology in mathematics education: An essay on the case of proof. </w:t>
      </w:r>
      <w:r w:rsidRPr="008B4349">
        <w:rPr>
          <w:i/>
          <w:color w:val="131313"/>
        </w:rPr>
        <w:t xml:space="preserve">ZDM – The International Journal on Mathematics Education, 40, </w:t>
      </w:r>
      <w:r w:rsidRPr="008B4349">
        <w:t>501–512.</w:t>
      </w:r>
    </w:p>
    <w:p w14:paraId="02D9F11A" w14:textId="2A72AE26" w:rsidR="00523677" w:rsidRPr="008B4349" w:rsidRDefault="00523677" w:rsidP="00C5240A">
      <w:pPr>
        <w:pStyle w:val="ICMEReference"/>
      </w:pPr>
      <w:r w:rsidRPr="008B4349">
        <w:t xml:space="preserve">Barbeau, E. (1995). Algebra at the tertiary level. </w:t>
      </w:r>
      <w:r w:rsidRPr="008B4349">
        <w:rPr>
          <w:i/>
        </w:rPr>
        <w:t>Journal of Mathematical Behavior</w:t>
      </w:r>
      <w:r w:rsidR="00CC4571" w:rsidRPr="008B4349">
        <w:rPr>
          <w:i/>
        </w:rPr>
        <w:t>,</w:t>
      </w:r>
      <w:r w:rsidRPr="008B4349">
        <w:t xml:space="preserve"> </w:t>
      </w:r>
      <w:r w:rsidRPr="008B4349">
        <w:rPr>
          <w:bCs/>
          <w:i/>
        </w:rPr>
        <w:t>14</w:t>
      </w:r>
      <w:r w:rsidR="00CC4571" w:rsidRPr="008B4349">
        <w:t>,</w:t>
      </w:r>
      <w:r w:rsidRPr="008B4349">
        <w:t xml:space="preserve"> 139-142.</w:t>
      </w:r>
    </w:p>
    <w:p w14:paraId="5B1D3F30" w14:textId="013E518A" w:rsidR="00523677" w:rsidRPr="008B4349" w:rsidRDefault="00BB3100" w:rsidP="00C5240A">
      <w:pPr>
        <w:pStyle w:val="ICMEReference"/>
        <w:rPr>
          <w:rStyle w:val="bibliotexteCar"/>
          <w:rFonts w:eastAsia="PMingLiU"/>
          <w:sz w:val="26"/>
          <w:szCs w:val="28"/>
          <w:lang w:val="en-GB" w:eastAsia="es-ES"/>
        </w:rPr>
      </w:pPr>
      <w:r w:rsidRPr="008B4349">
        <w:t xml:space="preserve">Barrier, T. </w:t>
      </w:r>
      <w:r w:rsidR="00523677" w:rsidRPr="008B4349">
        <w:rPr>
          <w:rStyle w:val="bibliotexteCar"/>
          <w:rFonts w:eastAsia="PMingLiU"/>
          <w:sz w:val="26"/>
          <w:szCs w:val="28"/>
          <w:lang w:val="en-GB" w:eastAsia="es-ES"/>
        </w:rPr>
        <w:t>(2009b). Quantification et Variation en Mathématiques: perspectives didactiques issues de la lecture d'un texte de Bolzano. In Kourkoulos M., Tzanakis C. (</w:t>
      </w:r>
      <w:r w:rsidR="00CC4571" w:rsidRPr="008B4349">
        <w:rPr>
          <w:rStyle w:val="bibliotexteCar"/>
          <w:rFonts w:eastAsia="PMingLiU"/>
          <w:sz w:val="26"/>
          <w:szCs w:val="28"/>
          <w:lang w:val="en-GB" w:eastAsia="es-ES"/>
        </w:rPr>
        <w:t>E</w:t>
      </w:r>
      <w:r w:rsidR="00523677" w:rsidRPr="008B4349">
        <w:rPr>
          <w:rStyle w:val="bibliotexteCar"/>
          <w:rFonts w:eastAsia="PMingLiU"/>
          <w:sz w:val="26"/>
          <w:szCs w:val="28"/>
          <w:lang w:val="en-GB" w:eastAsia="es-ES"/>
        </w:rPr>
        <w:t>d</w:t>
      </w:r>
      <w:r w:rsidR="00CC4571" w:rsidRPr="008B4349">
        <w:rPr>
          <w:rStyle w:val="bibliotexteCar"/>
          <w:rFonts w:eastAsia="PMingLiU"/>
          <w:sz w:val="26"/>
          <w:szCs w:val="28"/>
          <w:lang w:val="en-GB" w:eastAsia="es-ES"/>
        </w:rPr>
        <w:t>.</w:t>
      </w:r>
      <w:r w:rsidR="00523677" w:rsidRPr="008B4349">
        <w:rPr>
          <w:rStyle w:val="bibliotexteCar"/>
          <w:rFonts w:eastAsia="PMingLiU"/>
          <w:sz w:val="26"/>
          <w:szCs w:val="28"/>
          <w:lang w:val="en-GB" w:eastAsia="es-ES"/>
        </w:rPr>
        <w:t xml:space="preserve">), </w:t>
      </w:r>
      <w:r w:rsidR="00523677" w:rsidRPr="008B4349">
        <w:rPr>
          <w:rStyle w:val="bibliotexteCar"/>
          <w:rFonts w:eastAsia="PMingLiU"/>
          <w:i/>
          <w:sz w:val="26"/>
          <w:szCs w:val="28"/>
          <w:lang w:val="en-GB" w:eastAsia="es-ES"/>
        </w:rPr>
        <w:t>Proceedings of the 5th International Colloquium on the Didactics of Mathematics</w:t>
      </w:r>
      <w:r w:rsidR="00523677" w:rsidRPr="008B4349">
        <w:rPr>
          <w:rStyle w:val="bibliotexteCar"/>
          <w:rFonts w:eastAsia="PMingLiU"/>
          <w:sz w:val="26"/>
          <w:szCs w:val="28"/>
          <w:lang w:val="en-GB" w:eastAsia="es-ES"/>
        </w:rPr>
        <w:t xml:space="preserve"> (Vol. 2), University of Crete, Rethymnon, Greece.</w:t>
      </w:r>
    </w:p>
    <w:p w14:paraId="0C0E0129" w14:textId="4ECADDF8" w:rsidR="00523677" w:rsidRPr="008B4349" w:rsidRDefault="00523677" w:rsidP="00C5240A">
      <w:pPr>
        <w:pStyle w:val="ICMEReference"/>
      </w:pPr>
      <w:r w:rsidRPr="008B4349">
        <w:t>Barton, B., &amp; Sheryn, L. (2009). The mathematical needs of secondary teachers: Data from three countries</w:t>
      </w:r>
      <w:r w:rsidR="005B441A" w:rsidRPr="008B4349">
        <w:t>.</w:t>
      </w:r>
      <w:r w:rsidRPr="008B4349">
        <w:t xml:space="preserve"> </w:t>
      </w:r>
      <w:r w:rsidRPr="008B4349">
        <w:rPr>
          <w:i/>
          <w:iCs/>
        </w:rPr>
        <w:t>International Journal of Mathematical Education in Science and Technology, 40</w:t>
      </w:r>
      <w:r w:rsidRPr="008B4349">
        <w:t>(1), 101-8.</w:t>
      </w:r>
    </w:p>
    <w:p w14:paraId="104F4AE1" w14:textId="7DB6F94E" w:rsidR="00523677" w:rsidRPr="008B4349" w:rsidRDefault="00523677" w:rsidP="00C5240A">
      <w:pPr>
        <w:pStyle w:val="ICMEReference"/>
      </w:pPr>
      <w:r w:rsidRPr="008B4349">
        <w:t>Ben Kilani, I. (2005)</w:t>
      </w:r>
      <w:r w:rsidR="00332393" w:rsidRPr="008B4349">
        <w:t>.</w:t>
      </w:r>
      <w:r w:rsidRPr="008B4349">
        <w:t xml:space="preserve"> Effets didactiques des différences de fonctionnement de la négation dans la langue arabe, la langue française et le langage mathématique. Thèse en co-tutelle, Université Lyon 1 et Université de Tunis.</w:t>
      </w:r>
    </w:p>
    <w:p w14:paraId="4CF84A11" w14:textId="267300D2" w:rsidR="00523677" w:rsidRPr="008B4349" w:rsidRDefault="00523677" w:rsidP="00C5240A">
      <w:pPr>
        <w:pStyle w:val="ICMEReference"/>
      </w:pPr>
      <w:r w:rsidRPr="008B4349">
        <w:t xml:space="preserve">Bergé, A. (2008). The completeness property of the set of real numbers in the transition from calculus to analysis. </w:t>
      </w:r>
      <w:r w:rsidRPr="008B4349">
        <w:rPr>
          <w:i/>
        </w:rPr>
        <w:t>Educational Studies in Mathematics</w:t>
      </w:r>
      <w:r w:rsidR="00332393" w:rsidRPr="008B4349">
        <w:t>,</w:t>
      </w:r>
      <w:r w:rsidR="00332393" w:rsidRPr="008B4349">
        <w:rPr>
          <w:i/>
        </w:rPr>
        <w:t xml:space="preserve"> 67</w:t>
      </w:r>
      <w:r w:rsidR="00332393" w:rsidRPr="008B4349">
        <w:t>(</w:t>
      </w:r>
      <w:r w:rsidRPr="008B4349">
        <w:t>3</w:t>
      </w:r>
      <w:r w:rsidR="00332393" w:rsidRPr="008B4349">
        <w:t>)</w:t>
      </w:r>
      <w:r w:rsidRPr="008B4349">
        <w:t>, 217-236.</w:t>
      </w:r>
    </w:p>
    <w:p w14:paraId="3906F619" w14:textId="56EFB699" w:rsidR="00731BBC" w:rsidRPr="008B4349" w:rsidRDefault="00731BBC" w:rsidP="00C5240A">
      <w:pPr>
        <w:pStyle w:val="ICMEReference"/>
      </w:pPr>
      <w:r w:rsidRPr="008B4349">
        <w:lastRenderedPageBreak/>
        <w:t xml:space="preserve">Bergé. A. (2010). Students’ perceptions of the completeness property of the set of real numbers. </w:t>
      </w:r>
      <w:r w:rsidRPr="008B4349">
        <w:rPr>
          <w:i/>
        </w:rPr>
        <w:t>International Journal of Mathematical Education in Science and Technology, 41</w:t>
      </w:r>
      <w:r w:rsidRPr="008B4349">
        <w:t>(2), 217-227.</w:t>
      </w:r>
    </w:p>
    <w:p w14:paraId="6C3E4E15" w14:textId="57B24DD5" w:rsidR="00523677" w:rsidRPr="008B4349" w:rsidRDefault="00523677" w:rsidP="00C5240A">
      <w:pPr>
        <w:pStyle w:val="ICMEReference"/>
      </w:pPr>
      <w:r w:rsidRPr="008B4349">
        <w:t xml:space="preserve">Berry, J. S., Lapp, D. A., &amp; Nyman, M. A. (2008). Using technology to facilitate reasoning: </w:t>
      </w:r>
      <w:r w:rsidR="005B441A" w:rsidRPr="008B4349">
        <w:t>L</w:t>
      </w:r>
      <w:r w:rsidRPr="008B4349">
        <w:t xml:space="preserve">ifting the fog from linear algebra. </w:t>
      </w:r>
      <w:r w:rsidRPr="008B4349">
        <w:rPr>
          <w:i/>
        </w:rPr>
        <w:t>Teaching Mathematics and its Applications, 27</w:t>
      </w:r>
      <w:r w:rsidRPr="008B4349">
        <w:t xml:space="preserve">, 102. </w:t>
      </w:r>
    </w:p>
    <w:p w14:paraId="1E659801" w14:textId="77777777" w:rsidR="008E610E" w:rsidRDefault="00523677" w:rsidP="00C5240A">
      <w:pPr>
        <w:pStyle w:val="ICMEReference"/>
      </w:pPr>
      <w:r w:rsidRPr="008B4349">
        <w:t xml:space="preserve">Biehler, Fischer, Hochmuth &amp; Wassong (2011). Designing and evaluating blended learning bridging courses in mathematics. In M. Pytlak, T. Rowland, &amp; E. Swoboda (Eds.), </w:t>
      </w:r>
      <w:r w:rsidRPr="008B4349">
        <w:rPr>
          <w:i/>
        </w:rPr>
        <w:t>Proceedings of the 7th Conference of European Researchers in Mathematics Education</w:t>
      </w:r>
      <w:r w:rsidRPr="008B4349">
        <w:t xml:space="preserve"> (pp. 1971-1980). Rzeszow, Poland.</w:t>
      </w:r>
      <w:r w:rsidR="008E610E" w:rsidRPr="008E610E">
        <w:t xml:space="preserve"> </w:t>
      </w:r>
    </w:p>
    <w:p w14:paraId="2D4668A7" w14:textId="22BBC0B9" w:rsidR="00523677" w:rsidRPr="008B4349" w:rsidRDefault="008E610E" w:rsidP="00C5240A">
      <w:pPr>
        <w:pStyle w:val="ICMEReference"/>
      </w:pPr>
      <w:r w:rsidRPr="008B4349">
        <w:t xml:space="preserve">Bloch, I., Chiocca, C. M., Job, P., &amp; Scheider, M. (2006). Du numérique aux limites: Quelle forme prend la transition secondaire/supérieur dans le champ des nombres et de l’analyse? In R. Rouchier et al. (Eds.). </w:t>
      </w:r>
      <w:r w:rsidRPr="008B4349">
        <w:rPr>
          <w:i/>
        </w:rPr>
        <w:t>Actes de la XIIIème Ecole d’Eté de Didactique des Mathématiques</w:t>
      </w:r>
      <w:r w:rsidRPr="008B4349">
        <w:t xml:space="preserve"> (pp. 1-13). Cédérom. Grenoble: La Pensée Sauvage.</w:t>
      </w:r>
    </w:p>
    <w:p w14:paraId="01298D3D" w14:textId="5C5CEC10" w:rsidR="00523677" w:rsidRPr="008B4349" w:rsidRDefault="00523677" w:rsidP="00C5240A">
      <w:pPr>
        <w:pStyle w:val="ICMEReference"/>
      </w:pPr>
      <w:r w:rsidRPr="008B4349">
        <w:t>Bloch,</w:t>
      </w:r>
      <w:r w:rsidRPr="008B4349">
        <w:rPr>
          <w:smallCaps/>
        </w:rPr>
        <w:t xml:space="preserve"> </w:t>
      </w:r>
      <w:r w:rsidRPr="008B4349">
        <w:t>I</w:t>
      </w:r>
      <w:r w:rsidRPr="008B4349">
        <w:rPr>
          <w:smallCaps/>
        </w:rPr>
        <w:t>.</w:t>
      </w:r>
      <w:r w:rsidRPr="008B4349">
        <w:t xml:space="preserve"> </w:t>
      </w:r>
      <w:r w:rsidR="00F1013A">
        <w:t xml:space="preserve">&amp; </w:t>
      </w:r>
      <w:r w:rsidR="00F1013A" w:rsidRPr="008B4349">
        <w:t>Gheda</w:t>
      </w:r>
      <w:r w:rsidR="00F1013A">
        <w:t xml:space="preserve">msi I. </w:t>
      </w:r>
      <w:r w:rsidRPr="008B4349">
        <w:t xml:space="preserve">(2004) The teaching of calculus at the transition between upper secondary school and the university: </w:t>
      </w:r>
      <w:r w:rsidR="005B441A" w:rsidRPr="008B4349">
        <w:t>F</w:t>
      </w:r>
      <w:r w:rsidRPr="008B4349">
        <w:t xml:space="preserve">actors of rupture. Communication to the Topic Study Group 12, Dans M. Niss (Eds.) </w:t>
      </w:r>
      <w:r w:rsidRPr="008B4349">
        <w:rPr>
          <w:i/>
        </w:rPr>
        <w:t>Actes de</w:t>
      </w:r>
      <w:r w:rsidRPr="008B4349">
        <w:t xml:space="preserve"> </w:t>
      </w:r>
      <w:r w:rsidRPr="008B4349">
        <w:rPr>
          <w:i/>
        </w:rPr>
        <w:t>ICME10.</w:t>
      </w:r>
      <w:r w:rsidRPr="008B4349">
        <w:t xml:space="preserve"> Copenhagen. Copenhagen: Roskilde University. </w:t>
      </w:r>
    </w:p>
    <w:p w14:paraId="77D144BE" w14:textId="6C52BD9E" w:rsidR="00523677" w:rsidRPr="008B4349" w:rsidRDefault="00523677" w:rsidP="00C5240A">
      <w:pPr>
        <w:pStyle w:val="ICMEReference"/>
      </w:pPr>
      <w:r w:rsidRPr="008B4349">
        <w:t xml:space="preserve">Bloch, I., </w:t>
      </w:r>
      <w:r w:rsidR="00F1013A">
        <w:t xml:space="preserve">&amp; </w:t>
      </w:r>
      <w:r w:rsidRPr="008B4349">
        <w:t>Gheda</w:t>
      </w:r>
      <w:r w:rsidR="00F1013A">
        <w:t>msi I. (2010). From numbers to l</w:t>
      </w:r>
      <w:r w:rsidRPr="008B4349">
        <w:t xml:space="preserve">imits:  Situations as a way to a </w:t>
      </w:r>
      <w:r w:rsidR="005B441A" w:rsidRPr="008B4349">
        <w:t>p</w:t>
      </w:r>
      <w:r w:rsidRPr="008B4349">
        <w:t xml:space="preserve">rocess of </w:t>
      </w:r>
      <w:r w:rsidR="005B441A" w:rsidRPr="008B4349">
        <w:t>a</w:t>
      </w:r>
      <w:r w:rsidRPr="008B4349">
        <w:t>bstraction</w:t>
      </w:r>
      <w:r w:rsidR="005B441A" w:rsidRPr="008B4349">
        <w:t>.</w:t>
      </w:r>
      <w:r w:rsidRPr="008B4349">
        <w:t xml:space="preserve"> </w:t>
      </w:r>
      <w:r w:rsidRPr="008B4349">
        <w:rPr>
          <w:i/>
          <w:iCs/>
        </w:rPr>
        <w:t>Proceedings of CERME 6</w:t>
      </w:r>
      <w:r w:rsidRPr="008B4349">
        <w:t>, Lyon, France, http://www.inrp.fr/publications/edition-electronique/cerme6/wg12-15-bloch.pdf</w:t>
      </w:r>
    </w:p>
    <w:p w14:paraId="324717D6" w14:textId="2F93CE2E" w:rsidR="00523677" w:rsidRPr="008B4349" w:rsidRDefault="00523677" w:rsidP="00C5240A">
      <w:pPr>
        <w:pStyle w:val="ICMEReference"/>
      </w:pPr>
      <w:r w:rsidRPr="008B4349">
        <w:t>Blossier, T., Barrier, T.</w:t>
      </w:r>
      <w:r w:rsidR="005B441A" w:rsidRPr="008B4349">
        <w:t>,</w:t>
      </w:r>
      <w:r w:rsidRPr="008B4349">
        <w:t xml:space="preserve"> &amp; Durand-Guerrier</w:t>
      </w:r>
      <w:r w:rsidRPr="008B4349">
        <w:rPr>
          <w:smallCaps/>
        </w:rPr>
        <w:t>, V</w:t>
      </w:r>
      <w:r w:rsidRPr="008B4349">
        <w:t xml:space="preserve">. (2009). Proof and </w:t>
      </w:r>
      <w:r w:rsidR="005B441A" w:rsidRPr="008B4349">
        <w:t>q</w:t>
      </w:r>
      <w:r w:rsidRPr="008B4349">
        <w:t>uantification</w:t>
      </w:r>
      <w:r w:rsidR="005B441A" w:rsidRPr="008B4349">
        <w:t>.</w:t>
      </w:r>
      <w:r w:rsidRPr="008B4349">
        <w:t xml:space="preserve"> In F.-L. Lin, F.-J. Hsieh, G. Hanna &amp; M. de Villiers (</w:t>
      </w:r>
      <w:r w:rsidR="005B441A" w:rsidRPr="008B4349">
        <w:t>E</w:t>
      </w:r>
      <w:r w:rsidRPr="008B4349">
        <w:t>ds</w:t>
      </w:r>
      <w:r w:rsidR="005B441A" w:rsidRPr="008B4349">
        <w:t>.</w:t>
      </w:r>
      <w:r w:rsidRPr="008B4349">
        <w:t xml:space="preserve">), </w:t>
      </w:r>
      <w:r w:rsidRPr="008B4349">
        <w:rPr>
          <w:i/>
        </w:rPr>
        <w:t>ICMI Study 19 Conference Proceedings</w:t>
      </w:r>
      <w:r w:rsidRPr="008B4349">
        <w:t xml:space="preserve">, Taiwan: Taiwan University. </w:t>
      </w:r>
    </w:p>
    <w:p w14:paraId="6C6A30B3" w14:textId="54597C0C" w:rsidR="00523677" w:rsidRPr="008B4349" w:rsidRDefault="00523677" w:rsidP="00C5240A">
      <w:pPr>
        <w:pStyle w:val="ICMEReference"/>
      </w:pPr>
      <w:r w:rsidRPr="008B4349">
        <w:t xml:space="preserve">Blum, W., Alsina, C., Biembengut, M. S., Bouleau, N., Confrey, J., Galbraith, P., Ikeda, T., Lingefjärd, T., Muller, E., Niss, M., Verschaffel, L., Wang, S., Hodgson, B. R. &amp; Henn, H.-W. (2002). ICMI Study 14: Applications and modelling in mathematics education </w:t>
      </w:r>
      <w:r w:rsidR="005B441A" w:rsidRPr="008B4349">
        <w:t xml:space="preserve">– </w:t>
      </w:r>
      <w:r w:rsidRPr="008B4349">
        <w:t xml:space="preserve">Discussion Document. </w:t>
      </w:r>
      <w:r w:rsidRPr="008B4349">
        <w:rPr>
          <w:i/>
        </w:rPr>
        <w:t>Educational Studies in Mathematics</w:t>
      </w:r>
      <w:r w:rsidRPr="008B4349">
        <w:t xml:space="preserve">, </w:t>
      </w:r>
      <w:r w:rsidRPr="008B4349">
        <w:rPr>
          <w:i/>
        </w:rPr>
        <w:t>51</w:t>
      </w:r>
      <w:r w:rsidRPr="008B4349">
        <w:t>, 149-171.</w:t>
      </w:r>
    </w:p>
    <w:p w14:paraId="353C30F0" w14:textId="01F89482" w:rsidR="00523677" w:rsidRPr="008B4349" w:rsidRDefault="00523677" w:rsidP="00C5240A">
      <w:pPr>
        <w:pStyle w:val="ICMEReference"/>
      </w:pPr>
      <w:r w:rsidRPr="008B4349">
        <w:t>Bosch</w:t>
      </w:r>
      <w:r w:rsidR="000C56E9" w:rsidRPr="008B4349">
        <w:t>,</w:t>
      </w:r>
      <w:r w:rsidRPr="008B4349">
        <w:t xml:space="preserve"> M., Fonseca</w:t>
      </w:r>
      <w:r w:rsidR="000C56E9" w:rsidRPr="008B4349">
        <w:t>,</w:t>
      </w:r>
      <w:r w:rsidRPr="008B4349">
        <w:t xml:space="preserve"> C., Gascón</w:t>
      </w:r>
      <w:r w:rsidR="000C56E9" w:rsidRPr="008B4349">
        <w:t>,</w:t>
      </w:r>
      <w:r w:rsidRPr="008B4349">
        <w:t xml:space="preserve"> J. (2004). Incompletitud de las organizaciones matemáticas locales en las instituciones escolares. </w:t>
      </w:r>
      <w:r w:rsidRPr="008B4349">
        <w:rPr>
          <w:i/>
        </w:rPr>
        <w:t>Recherches en Didactique des Mathématiques</w:t>
      </w:r>
      <w:r w:rsidRPr="008B4349">
        <w:t xml:space="preserve">, </w:t>
      </w:r>
      <w:r w:rsidRPr="008B4349">
        <w:rPr>
          <w:i/>
        </w:rPr>
        <w:t>24</w:t>
      </w:r>
      <w:r w:rsidRPr="008B4349">
        <w:t>/2.3, 205-250.</w:t>
      </w:r>
    </w:p>
    <w:p w14:paraId="612E490B" w14:textId="17684A47" w:rsidR="00523677" w:rsidRPr="008B4349" w:rsidRDefault="00523677" w:rsidP="00C5240A">
      <w:pPr>
        <w:pStyle w:val="ICMEReference"/>
      </w:pPr>
      <w:r w:rsidRPr="008B4349">
        <w:t xml:space="preserve">Bracke, M. (2010). Modelling </w:t>
      </w:r>
      <w:r w:rsidR="000C56E9" w:rsidRPr="008B4349">
        <w:t>r</w:t>
      </w:r>
      <w:r w:rsidRPr="008B4349">
        <w:t xml:space="preserve">eality: Motivate </w:t>
      </w:r>
      <w:r w:rsidR="000C56E9" w:rsidRPr="008B4349">
        <w:t>y</w:t>
      </w:r>
      <w:r w:rsidRPr="008B4349">
        <w:t xml:space="preserve">our </w:t>
      </w:r>
      <w:r w:rsidR="000C56E9" w:rsidRPr="008B4349">
        <w:t>s</w:t>
      </w:r>
      <w:r w:rsidRPr="008B4349">
        <w:t>tudents! In A.D. Fitt et al. (</w:t>
      </w:r>
      <w:r w:rsidR="000C56E9" w:rsidRPr="008B4349">
        <w:t>E</w:t>
      </w:r>
      <w:r w:rsidRPr="008B4349">
        <w:t xml:space="preserve">ds.), </w:t>
      </w:r>
      <w:r w:rsidRPr="008B4349">
        <w:rPr>
          <w:i/>
        </w:rPr>
        <w:t>Progress in Industrial Mathematics at ECMI 2008, Mathematics in Industry 15,</w:t>
      </w:r>
      <w:r w:rsidRPr="008B4349">
        <w:t xml:space="preserve"> </w:t>
      </w:r>
      <w:r w:rsidR="002C3284">
        <w:t xml:space="preserve">Berlin: </w:t>
      </w:r>
      <w:r w:rsidRPr="008B4349">
        <w:t>Springer-Verlag</w:t>
      </w:r>
      <w:r w:rsidR="002C3284">
        <w:t>.</w:t>
      </w:r>
    </w:p>
    <w:p w14:paraId="47B50D60" w14:textId="77777777" w:rsidR="00523677" w:rsidRPr="008B4349" w:rsidRDefault="00523677" w:rsidP="00C5240A">
      <w:pPr>
        <w:pStyle w:val="ICMEReference"/>
      </w:pPr>
      <w:r w:rsidRPr="008B4349">
        <w:t xml:space="preserve">Brandell, G., Hemmi, K., &amp; Thunberg, H. (2008). The widening gap—A Swedish perspective. </w:t>
      </w:r>
      <w:r w:rsidRPr="008B4349">
        <w:rPr>
          <w:i/>
          <w:iCs/>
        </w:rPr>
        <w:t>Mathematics Education Research Journal, 20</w:t>
      </w:r>
      <w:r w:rsidRPr="008B4349">
        <w:t>(2), 38-56.</w:t>
      </w:r>
    </w:p>
    <w:p w14:paraId="07CF08AD" w14:textId="31C29BF1" w:rsidR="00523677" w:rsidRPr="008B4349" w:rsidRDefault="00523677" w:rsidP="00C5240A">
      <w:pPr>
        <w:pStyle w:val="ICMEReference"/>
      </w:pPr>
      <w:r w:rsidRPr="008B4349">
        <w:t>Bridoux</w:t>
      </w:r>
      <w:r w:rsidR="000C56E9" w:rsidRPr="008B4349">
        <w:t>,</w:t>
      </w:r>
      <w:r w:rsidRPr="008B4349">
        <w:t xml:space="preserve"> S. (2010). Une séquence d'introduction des notions de topologie dans l'espace R</w:t>
      </w:r>
      <w:r w:rsidRPr="008B4349">
        <w:rPr>
          <w:vertAlign w:val="superscript"/>
        </w:rPr>
        <w:t>n</w:t>
      </w:r>
      <w:r w:rsidRPr="008B4349">
        <w:t> : de la conception à l'expérimentation</w:t>
      </w:r>
      <w:r w:rsidRPr="008B4349">
        <w:rPr>
          <w:bCs/>
        </w:rPr>
        <w:t xml:space="preserve">. </w:t>
      </w:r>
      <w:r w:rsidRPr="008B4349">
        <w:t xml:space="preserve">In A. Kuzniak </w:t>
      </w:r>
      <w:r w:rsidR="000C56E9" w:rsidRPr="008B4349">
        <w:t>&amp;</w:t>
      </w:r>
      <w:r w:rsidRPr="008B4349">
        <w:t xml:space="preserve"> M. Sokhna (Eds.) </w:t>
      </w:r>
      <w:r w:rsidRPr="008E610E">
        <w:rPr>
          <w:i/>
        </w:rPr>
        <w:t>Actes du Colloque International Espace</w:t>
      </w:r>
      <w:r w:rsidR="008E610E" w:rsidRPr="008E610E">
        <w:rPr>
          <w:i/>
        </w:rPr>
        <w:t xml:space="preserve"> Mathématique Francophone 2009,</w:t>
      </w:r>
      <w:r w:rsidRPr="008B4349">
        <w:t xml:space="preserve"> </w:t>
      </w:r>
      <w:r w:rsidRPr="008E610E">
        <w:rPr>
          <w:i/>
        </w:rPr>
        <w:t xml:space="preserve">Enseignement des mathématiques et développement, enjeux de société et de formation, </w:t>
      </w:r>
      <w:r w:rsidRPr="008B4349">
        <w:rPr>
          <w:i/>
        </w:rPr>
        <w:t>Revue Internationale Francophone</w:t>
      </w:r>
      <w:r w:rsidR="008E610E">
        <w:t>.</w:t>
      </w:r>
    </w:p>
    <w:p w14:paraId="2C8C7E6F" w14:textId="04AE3BDD" w:rsidR="00523677" w:rsidRPr="008B4349" w:rsidRDefault="00523677" w:rsidP="00C5240A">
      <w:pPr>
        <w:pStyle w:val="ICMEReference"/>
      </w:pPr>
      <w:r w:rsidRPr="008B4349">
        <w:t xml:space="preserve">Britton, S., &amp; Henderson, J. (2009). Linear algebra revisited: </w:t>
      </w:r>
      <w:r w:rsidR="000C56E9" w:rsidRPr="008B4349">
        <w:t>A</w:t>
      </w:r>
      <w:r w:rsidRPr="008B4349">
        <w:t xml:space="preserve">n attempt to understand students' conceptual difficulties. </w:t>
      </w:r>
      <w:r w:rsidRPr="008B4349">
        <w:rPr>
          <w:i/>
        </w:rPr>
        <w:t>International Journal of Mathematical Education in Science and Technology, 40</w:t>
      </w:r>
      <w:r w:rsidRPr="008B4349">
        <w:t xml:space="preserve">, 963-974. </w:t>
      </w:r>
    </w:p>
    <w:p w14:paraId="24DB3AE6" w14:textId="77777777" w:rsidR="00523677" w:rsidRPr="008B4349" w:rsidRDefault="00523677" w:rsidP="00C5240A">
      <w:pPr>
        <w:pStyle w:val="ICMEReference"/>
      </w:pPr>
      <w:r w:rsidRPr="008B4349">
        <w:t xml:space="preserve">Brousseau, G. (1997). </w:t>
      </w:r>
      <w:r w:rsidRPr="008B4349">
        <w:rPr>
          <w:i/>
        </w:rPr>
        <w:t>Theory of didactical situations in mathematics</w:t>
      </w:r>
      <w:r w:rsidRPr="008B4349">
        <w:t xml:space="preserve"> (N. Balacheff, M. Cooper, R. Sutherland &amp; V. Warfield: Eds. and Trans.). Dordrecht: Kluwer Academic Publishers.</w:t>
      </w:r>
    </w:p>
    <w:p w14:paraId="0C7C6276" w14:textId="497581CC" w:rsidR="00523677" w:rsidRPr="008B4349" w:rsidRDefault="00523677" w:rsidP="00C5240A">
      <w:pPr>
        <w:pStyle w:val="ICMEReference"/>
      </w:pPr>
      <w:r w:rsidRPr="008B4349">
        <w:t xml:space="preserve">Burn, </w:t>
      </w:r>
      <w:r w:rsidR="000C56E9" w:rsidRPr="008B4349">
        <w:t>R</w:t>
      </w:r>
      <w:r w:rsidRPr="008B4349">
        <w:t xml:space="preserve">. </w:t>
      </w:r>
      <w:r w:rsidR="000C56E9" w:rsidRPr="008B4349">
        <w:t xml:space="preserve">P. </w:t>
      </w:r>
      <w:r w:rsidRPr="008B4349">
        <w:t xml:space="preserve">(1996). What are the fundamental concepts of Group Theory? </w:t>
      </w:r>
      <w:r w:rsidRPr="008B4349">
        <w:rPr>
          <w:i/>
        </w:rPr>
        <w:t>Educational Studies in Mathematics</w:t>
      </w:r>
      <w:r w:rsidR="000C56E9" w:rsidRPr="008B4349">
        <w:t xml:space="preserve">, </w:t>
      </w:r>
      <w:r w:rsidRPr="008B4349">
        <w:rPr>
          <w:bCs/>
          <w:i/>
        </w:rPr>
        <w:t>31</w:t>
      </w:r>
      <w:r w:rsidRPr="008B4349">
        <w:t>(4)</w:t>
      </w:r>
      <w:r w:rsidR="000C56E9" w:rsidRPr="008B4349">
        <w:t>,</w:t>
      </w:r>
      <w:r w:rsidRPr="008B4349">
        <w:t xml:space="preserve"> 371-377.</w:t>
      </w:r>
    </w:p>
    <w:p w14:paraId="1AD9F2C1" w14:textId="09A8FBC6" w:rsidR="00523677" w:rsidRPr="008B4349" w:rsidRDefault="00523677" w:rsidP="00C5240A">
      <w:pPr>
        <w:pStyle w:val="ICMEReference"/>
      </w:pPr>
      <w:r w:rsidRPr="008B4349">
        <w:t xml:space="preserve">Burn, R. P. (1998). Participating in the learning of Group Theory. </w:t>
      </w:r>
      <w:r w:rsidRPr="008B4349">
        <w:rPr>
          <w:i/>
        </w:rPr>
        <w:t xml:space="preserve">PRIMUS </w:t>
      </w:r>
      <w:r w:rsidRPr="008B4349">
        <w:rPr>
          <w:bCs/>
          <w:i/>
        </w:rPr>
        <w:t>VIII</w:t>
      </w:r>
      <w:r w:rsidRPr="008B4349">
        <w:t>(4)</w:t>
      </w:r>
      <w:r w:rsidR="000C56E9" w:rsidRPr="008B4349">
        <w:t>,</w:t>
      </w:r>
      <w:r w:rsidRPr="008B4349">
        <w:t xml:space="preserve"> 305-316.</w:t>
      </w:r>
    </w:p>
    <w:p w14:paraId="7B4235F2" w14:textId="1B036DF6" w:rsidR="00BB3100" w:rsidRPr="008B4349" w:rsidRDefault="00BB3100" w:rsidP="00C5240A">
      <w:pPr>
        <w:pStyle w:val="ICMEReference"/>
      </w:pPr>
      <w:r w:rsidRPr="008B4349">
        <w:lastRenderedPageBreak/>
        <w:t xml:space="preserve">Carmichael, C., &amp; Taylor, J. A. (2005). Analysis of student beliefs in a tertiary preparatory mathematics course. </w:t>
      </w:r>
      <w:r w:rsidRPr="008B4349">
        <w:rPr>
          <w:i/>
        </w:rPr>
        <w:t>International Journal of Mathematical Education in Science and Technology, 36</w:t>
      </w:r>
      <w:r w:rsidRPr="008B4349">
        <w:t>(7), 713-719.</w:t>
      </w:r>
    </w:p>
    <w:p w14:paraId="36429E32" w14:textId="77777777" w:rsidR="00523677" w:rsidRPr="008B4349" w:rsidRDefault="00523677" w:rsidP="00C5240A">
      <w:pPr>
        <w:pStyle w:val="ICMEReference"/>
      </w:pPr>
      <w:r w:rsidRPr="008B4349">
        <w:t xml:space="preserve">Cartiglia, M., Furinghetti, F., &amp; Paola, D. (2004). Patterns of reasoning in classroom. </w:t>
      </w:r>
      <w:r w:rsidRPr="008B4349">
        <w:rPr>
          <w:i/>
        </w:rPr>
        <w:t>Proceedings of the 28th Conference of the International Group for the Psychology of Mathematics Education</w:t>
      </w:r>
      <w:r w:rsidRPr="008B4349">
        <w:t>, Vol. 2, pp. 287–294.</w:t>
      </w:r>
    </w:p>
    <w:p w14:paraId="44E8E882" w14:textId="77777777" w:rsidR="000C56E9" w:rsidRPr="008B4349" w:rsidRDefault="000C56E9" w:rsidP="00C5240A">
      <w:pPr>
        <w:pStyle w:val="ICMEReference"/>
      </w:pPr>
      <w:r w:rsidRPr="008B4349">
        <w:t xml:space="preserve">Chellougui . (2004) </w:t>
      </w:r>
      <w:r w:rsidRPr="008B4349">
        <w:rPr>
          <w:iCs/>
        </w:rPr>
        <w:t xml:space="preserve">L'utilisation des quantificateurs </w:t>
      </w:r>
      <w:r w:rsidRPr="008B4349">
        <w:t xml:space="preserve">universel et existentiel en première année d'université. Entre l'implicite et l'explicite. Thèse de l’université Lyon 1. </w:t>
      </w:r>
    </w:p>
    <w:p w14:paraId="67670B4F" w14:textId="77777777" w:rsidR="00523677" w:rsidRPr="008B4349" w:rsidRDefault="00523677" w:rsidP="00C5240A">
      <w:pPr>
        <w:pStyle w:val="ICMEReference"/>
      </w:pPr>
      <w:r w:rsidRPr="008B4349">
        <w:t>Chevallard, Y. (1985). La transposition didactique. Grenoble: La Pensée Sauvage.</w:t>
      </w:r>
    </w:p>
    <w:p w14:paraId="7729BE72" w14:textId="26F6B848" w:rsidR="00523677" w:rsidRPr="008B4349" w:rsidRDefault="00523677" w:rsidP="00C5240A">
      <w:pPr>
        <w:pStyle w:val="ICMEReference"/>
      </w:pPr>
      <w:r w:rsidRPr="008B4349">
        <w:t>Chorlay</w:t>
      </w:r>
      <w:r w:rsidR="00A245DB" w:rsidRPr="008B4349">
        <w:t>,</w:t>
      </w:r>
      <w:r w:rsidRPr="008B4349">
        <w:t xml:space="preserve"> R. (2009). </w:t>
      </w:r>
      <w:r w:rsidRPr="008B4349">
        <w:rPr>
          <w:bCs/>
          <w:color w:val="000000"/>
        </w:rPr>
        <w:t xml:space="preserve">From historical analysis to classroom work: </w:t>
      </w:r>
      <w:r w:rsidR="00A245DB" w:rsidRPr="008B4349">
        <w:rPr>
          <w:bCs/>
          <w:color w:val="000000"/>
        </w:rPr>
        <w:t>F</w:t>
      </w:r>
      <w:r w:rsidRPr="008B4349">
        <w:rPr>
          <w:bCs/>
          <w:color w:val="000000"/>
        </w:rPr>
        <w:t xml:space="preserve">unction variation and long-term development of functional thinking. </w:t>
      </w:r>
      <w:r w:rsidRPr="008B4349">
        <w:rPr>
          <w:i/>
          <w:iCs/>
        </w:rPr>
        <w:t>Proceedings of CERME 6</w:t>
      </w:r>
      <w:r w:rsidRPr="008B4349">
        <w:t xml:space="preserve">, Lyon, France, </w:t>
      </w:r>
      <w:hyperlink r:id="rId16" w:history="1">
        <w:r w:rsidRPr="008B4349">
          <w:rPr>
            <w:rStyle w:val="Hyperlink"/>
          </w:rPr>
          <w:t>http://www.inrp.fr/publications/edition-electronique/cerme6/wg12-16-chorlay.pdf</w:t>
        </w:r>
      </w:hyperlink>
    </w:p>
    <w:p w14:paraId="177C1912" w14:textId="4DB7D80D" w:rsidR="00523677" w:rsidRPr="008B4349" w:rsidRDefault="00523677" w:rsidP="00C5240A">
      <w:pPr>
        <w:pStyle w:val="ICMEReference"/>
      </w:pPr>
      <w:r w:rsidRPr="008B4349">
        <w:t>Clark, J. M.,</w:t>
      </w:r>
      <w:r w:rsidR="00DA0C7E" w:rsidRPr="008B4349">
        <w:t xml:space="preserve"> DeVries, </w:t>
      </w:r>
      <w:r w:rsidR="00891DEE" w:rsidRPr="008B4349">
        <w:t xml:space="preserve">D. J., </w:t>
      </w:r>
      <w:r w:rsidR="00352C8B" w:rsidRPr="008B4349">
        <w:t xml:space="preserve">Hemenway, C., </w:t>
      </w:r>
      <w:r w:rsidR="00891DEE" w:rsidRPr="008B4349">
        <w:rPr>
          <w:rFonts w:eastAsia="TimesNewRoman"/>
        </w:rPr>
        <w:t>St. John, D., Tolias, G., &amp; Vakil, R.</w:t>
      </w:r>
      <w:r w:rsidR="00891DEE" w:rsidRPr="008B4349" w:rsidDel="00891DEE">
        <w:t xml:space="preserve"> </w:t>
      </w:r>
      <w:r w:rsidR="00DA0C7E" w:rsidRPr="008B4349">
        <w:t xml:space="preserve">(1997). </w:t>
      </w:r>
      <w:r w:rsidRPr="008B4349">
        <w:t>An investigation of s</w:t>
      </w:r>
      <w:r w:rsidR="00DA0C7E" w:rsidRPr="008B4349">
        <w:t>tudents’ understanding of abstract a</w:t>
      </w:r>
      <w:r w:rsidRPr="008B4349">
        <w:t xml:space="preserve">lgebra (binary operations, groups and subgroups) and the use of abstract structures to build other structures (through cosets, </w:t>
      </w:r>
      <w:r w:rsidR="00DA0C7E" w:rsidRPr="008B4349">
        <w:t>normality and quotient groups).</w:t>
      </w:r>
      <w:r w:rsidRPr="008B4349">
        <w:t xml:space="preserve"> </w:t>
      </w:r>
      <w:r w:rsidRPr="008B4349">
        <w:rPr>
          <w:i/>
        </w:rPr>
        <w:t>Journal of Mathematical Behavior</w:t>
      </w:r>
      <w:r w:rsidR="00DA0C7E" w:rsidRPr="008B4349">
        <w:rPr>
          <w:i/>
        </w:rPr>
        <w:t>,</w:t>
      </w:r>
      <w:r w:rsidRPr="008B4349">
        <w:t xml:space="preserve"> </w:t>
      </w:r>
      <w:r w:rsidRPr="008B4349">
        <w:rPr>
          <w:bCs/>
          <w:i/>
        </w:rPr>
        <w:t>16</w:t>
      </w:r>
      <w:r w:rsidR="00DA0C7E" w:rsidRPr="008B4349">
        <w:t>(3),</w:t>
      </w:r>
      <w:r w:rsidRPr="008B4349">
        <w:t xml:space="preserve"> 181-185.</w:t>
      </w:r>
    </w:p>
    <w:p w14:paraId="0E6D6CEB" w14:textId="77777777" w:rsidR="004A1481" w:rsidRPr="008B4349" w:rsidRDefault="004A1481" w:rsidP="00C5240A">
      <w:pPr>
        <w:pStyle w:val="ICMEReference"/>
      </w:pPr>
      <w:r w:rsidRPr="008B4349">
        <w:t xml:space="preserve">Clark, M. &amp; Lovric, M. (2009). Understanding secondary–tertiary transition in mathematics. </w:t>
      </w:r>
      <w:r w:rsidRPr="008B4349">
        <w:rPr>
          <w:i/>
          <w:iCs/>
        </w:rPr>
        <w:t>International Journal of Mathematical Education in Science and Technology</w:t>
      </w:r>
      <w:r w:rsidRPr="008B4349">
        <w:t xml:space="preserve">, </w:t>
      </w:r>
      <w:r w:rsidRPr="008B4349">
        <w:rPr>
          <w:i/>
          <w:iCs/>
        </w:rPr>
        <w:t>40</w:t>
      </w:r>
      <w:r w:rsidRPr="008B4349">
        <w:t>(6), 755-776. doi:10.1080/00207390902912878</w:t>
      </w:r>
    </w:p>
    <w:p w14:paraId="6A8AF8AE" w14:textId="4F99090A" w:rsidR="00523677" w:rsidRPr="008B4349" w:rsidRDefault="00523677" w:rsidP="00C5240A">
      <w:pPr>
        <w:pStyle w:val="ICMEReference"/>
      </w:pPr>
      <w:r w:rsidRPr="008B4349">
        <w:t>Cooley, L., Martin, W., Vidakovic, D.,  &amp; Loch, S. (</w:t>
      </w:r>
      <w:r w:rsidR="0061310D" w:rsidRPr="008B4349">
        <w:t>2007</w:t>
      </w:r>
      <w:r w:rsidRPr="008B4349">
        <w:t xml:space="preserve">). Coordinating learning theories with linear algebra.  </w:t>
      </w:r>
      <w:r w:rsidRPr="008B4349">
        <w:rPr>
          <w:i/>
        </w:rPr>
        <w:t>International Journal for Mathematics Teaching and Learning</w:t>
      </w:r>
      <w:r w:rsidRPr="008B4349">
        <w:t xml:space="preserve"> [online journal], University of Plymouth: U.K. </w:t>
      </w:r>
      <w:r w:rsidRPr="008B4349">
        <w:rPr>
          <w:color w:val="0000FF"/>
        </w:rPr>
        <w:t>http://www.cimt.plymouth.ac.uk/journal/def</w:t>
      </w:r>
      <w:r w:rsidR="008F0820" w:rsidRPr="008B4349">
        <w:rPr>
          <w:color w:val="0000FF"/>
        </w:rPr>
        <w:t>ault.htm</w:t>
      </w:r>
      <w:r w:rsidRPr="008B4349">
        <w:t xml:space="preserve">  </w:t>
      </w:r>
    </w:p>
    <w:p w14:paraId="77F5AB67" w14:textId="0EC7D1A6" w:rsidR="0047791B" w:rsidRPr="008B4349" w:rsidRDefault="0047791B" w:rsidP="00C5240A">
      <w:pPr>
        <w:pStyle w:val="ICMEReference"/>
      </w:pPr>
      <w:r w:rsidRPr="008B4349">
        <w:t xml:space="preserve">Corriveau, C. (2009). Formalisme et démonstration en algèbre linéaire. Paper presented at </w:t>
      </w:r>
      <w:r w:rsidRPr="008B4349">
        <w:rPr>
          <w:i/>
        </w:rPr>
        <w:t>Groupe de travail 7, EMF 2009</w:t>
      </w:r>
      <w:r w:rsidRPr="008B4349">
        <w:t>, Dakar.</w:t>
      </w:r>
    </w:p>
    <w:p w14:paraId="00BECA1C" w14:textId="72541B8A" w:rsidR="001B7AB0" w:rsidRPr="008B4349" w:rsidRDefault="001B7AB0" w:rsidP="00C5240A">
      <w:pPr>
        <w:pStyle w:val="ICMEReference"/>
      </w:pPr>
      <w:r w:rsidRPr="008B4349">
        <w:t>De Vleesch</w:t>
      </w:r>
      <w:r w:rsidR="007F4BC0">
        <w:t>ouwer, M. (2010</w:t>
      </w:r>
      <w:r w:rsidRPr="008B4349">
        <w:t xml:space="preserve">). An institutional point of view of the secondary–university transition: The case of duality. </w:t>
      </w:r>
      <w:r w:rsidRPr="008B4349">
        <w:rPr>
          <w:i/>
          <w:iCs/>
        </w:rPr>
        <w:t>International Journal of Mathematical Education in Science and Technology</w:t>
      </w:r>
      <w:r w:rsidRPr="008B4349">
        <w:t xml:space="preserve">, </w:t>
      </w:r>
      <w:r w:rsidRPr="008B4349">
        <w:rPr>
          <w:i/>
          <w:iCs/>
        </w:rPr>
        <w:t>41</w:t>
      </w:r>
      <w:r w:rsidRPr="008B4349">
        <w:t>(2), 155-171. doi:10.1080/00207390903372445</w:t>
      </w:r>
    </w:p>
    <w:p w14:paraId="0E980184" w14:textId="3A9C7382" w:rsidR="00523677" w:rsidRPr="008B4349" w:rsidRDefault="00523677" w:rsidP="00C5240A">
      <w:pPr>
        <w:pStyle w:val="ICMEReference"/>
      </w:pPr>
      <w:r w:rsidRPr="008B4349">
        <w:t>Deloustal-Jorrand (2004)</w:t>
      </w:r>
      <w:r w:rsidR="000E1641" w:rsidRPr="008B4349">
        <w:t>.</w:t>
      </w:r>
      <w:r w:rsidRPr="008B4349">
        <w:t xml:space="preserve"> L'implication mathématique: étude épistémologique et didactique</w:t>
      </w:r>
      <w:r w:rsidR="000E1641" w:rsidRPr="008B4349">
        <w:t xml:space="preserve">. </w:t>
      </w:r>
      <w:r w:rsidRPr="008B4349">
        <w:t xml:space="preserve">Étude sous trois points de vue: raisonnement déductif, logique formelle et théorie des ensembles. Construction d'une situation didactique </w:t>
      </w:r>
      <w:r w:rsidR="00BA2ECC" w:rsidRPr="008B4349">
        <w:t>qui problématise l'implication.</w:t>
      </w:r>
      <w:r w:rsidRPr="008B4349">
        <w:t xml:space="preserve"> Thèse de l’Université Joseph Fourier, Grenoble 1.</w:t>
      </w:r>
    </w:p>
    <w:p w14:paraId="21878C58" w14:textId="15C4C2DE" w:rsidR="00BA2ECC" w:rsidRPr="008B4349" w:rsidRDefault="00523677" w:rsidP="00C5240A">
      <w:pPr>
        <w:pStyle w:val="ICMEReference"/>
        <w:rPr>
          <w:lang w:val="fr-FR"/>
        </w:rPr>
      </w:pPr>
      <w:r w:rsidRPr="008B4349">
        <w:rPr>
          <w:lang w:val="pt-PT"/>
        </w:rPr>
        <w:t>Dias</w:t>
      </w:r>
      <w:r w:rsidR="000E1641" w:rsidRPr="008B4349">
        <w:rPr>
          <w:lang w:val="pt-PT"/>
        </w:rPr>
        <w:t>,</w:t>
      </w:r>
      <w:r w:rsidRPr="008B4349">
        <w:rPr>
          <w:lang w:val="pt-PT"/>
        </w:rPr>
        <w:t xml:space="preserve"> M., Artigue</w:t>
      </w:r>
      <w:r w:rsidR="000E1641" w:rsidRPr="008B4349">
        <w:rPr>
          <w:lang w:val="pt-PT"/>
        </w:rPr>
        <w:t>,</w:t>
      </w:r>
      <w:r w:rsidRPr="008B4349">
        <w:rPr>
          <w:lang w:val="pt-PT"/>
        </w:rPr>
        <w:t xml:space="preserve"> M., Jahn A.</w:t>
      </w:r>
      <w:r w:rsidR="000E1641" w:rsidRPr="008B4349">
        <w:rPr>
          <w:lang w:val="pt-PT"/>
        </w:rPr>
        <w:t>,</w:t>
      </w:r>
      <w:r w:rsidRPr="008B4349">
        <w:rPr>
          <w:lang w:val="pt-PT"/>
        </w:rPr>
        <w:t xml:space="preserve"> &amp; Campos</w:t>
      </w:r>
      <w:r w:rsidR="000E1641" w:rsidRPr="008B4349">
        <w:rPr>
          <w:lang w:val="pt-PT"/>
        </w:rPr>
        <w:t>,</w:t>
      </w:r>
      <w:r w:rsidRPr="008B4349">
        <w:rPr>
          <w:lang w:val="pt-PT"/>
        </w:rPr>
        <w:t xml:space="preserve"> T. (2008). </w:t>
      </w:r>
      <w:r w:rsidRPr="008B4349">
        <w:t>A comparative study of the secondary-tertiary transition. In M.</w:t>
      </w:r>
      <w:r w:rsidR="000E1641" w:rsidRPr="008B4349">
        <w:t xml:space="preserve"> </w:t>
      </w:r>
      <w:r w:rsidRPr="008B4349">
        <w:t>F. Pinto &amp; T.</w:t>
      </w:r>
      <w:r w:rsidR="000E1641" w:rsidRPr="008B4349">
        <w:t xml:space="preserve"> </w:t>
      </w:r>
      <w:r w:rsidRPr="008B4349">
        <w:t xml:space="preserve">F. Kawasaki (Eds.). </w:t>
      </w:r>
      <w:r w:rsidRPr="008B4349">
        <w:rPr>
          <w:i/>
        </w:rPr>
        <w:t>Proceedings of the 34th Conference of the PME</w:t>
      </w:r>
      <w:r w:rsidRPr="008B4349">
        <w:t xml:space="preserve"> </w:t>
      </w:r>
      <w:r w:rsidR="00BA2ECC" w:rsidRPr="008B4349">
        <w:t>(</w:t>
      </w:r>
      <w:r w:rsidRPr="008B4349">
        <w:t>Vol. 2, pp. 129-136</w:t>
      </w:r>
      <w:r w:rsidR="00BA2ECC" w:rsidRPr="008B4349">
        <w:t>)</w:t>
      </w:r>
      <w:r w:rsidRPr="008B4349">
        <w:t xml:space="preserve">. </w:t>
      </w:r>
      <w:r w:rsidR="00BA2ECC" w:rsidRPr="008B4349">
        <w:rPr>
          <w:lang w:val="fr-FR"/>
        </w:rPr>
        <w:t>Belo Horizonte, Bra</w:t>
      </w:r>
      <w:r w:rsidR="000E1641" w:rsidRPr="008B4349">
        <w:rPr>
          <w:lang w:val="fr-FR"/>
        </w:rPr>
        <w:t>z</w:t>
      </w:r>
      <w:r w:rsidR="00BA2ECC" w:rsidRPr="008B4349">
        <w:rPr>
          <w:lang w:val="fr-FR"/>
        </w:rPr>
        <w:t>il</w:t>
      </w:r>
      <w:r w:rsidRPr="008B4349">
        <w:rPr>
          <w:lang w:val="fr-FR"/>
        </w:rPr>
        <w:t xml:space="preserve">: </w:t>
      </w:r>
      <w:r w:rsidR="000E1641" w:rsidRPr="008B4349">
        <w:rPr>
          <w:lang w:val="fr-FR"/>
        </w:rPr>
        <w:t>IG</w:t>
      </w:r>
      <w:r w:rsidRPr="008B4349">
        <w:rPr>
          <w:lang w:val="fr-FR"/>
        </w:rPr>
        <w:t>PME</w:t>
      </w:r>
      <w:r w:rsidR="000E1641" w:rsidRPr="008B4349">
        <w:rPr>
          <w:lang w:val="fr-FR"/>
        </w:rPr>
        <w:t>.</w:t>
      </w:r>
    </w:p>
    <w:p w14:paraId="34D48A8C" w14:textId="77777777" w:rsidR="00523677" w:rsidRPr="008B4349" w:rsidRDefault="00523677" w:rsidP="00C5240A">
      <w:pPr>
        <w:pStyle w:val="ICMEReference"/>
      </w:pPr>
      <w:r w:rsidRPr="008B4349">
        <w:t xml:space="preserve">Dogan-Dunlap, H. (2010). Linear algebra students' modes of reasoning: Geometric representations. </w:t>
      </w:r>
      <w:r w:rsidRPr="008B4349">
        <w:rPr>
          <w:i/>
        </w:rPr>
        <w:t>Linear Algebra and its Applications, 432</w:t>
      </w:r>
      <w:r w:rsidRPr="008B4349">
        <w:t xml:space="preserve">, 2141-2159. </w:t>
      </w:r>
    </w:p>
    <w:p w14:paraId="58D3F965" w14:textId="77777777" w:rsidR="00523677" w:rsidRPr="008B4349" w:rsidRDefault="00523677" w:rsidP="00C5240A">
      <w:pPr>
        <w:pStyle w:val="ICMEReference"/>
      </w:pPr>
      <w:r w:rsidRPr="008B4349">
        <w:t xml:space="preserve">Dogan-Dunlap, H., &amp; Hall, B. (2004). Computers and linear algebra. </w:t>
      </w:r>
      <w:r w:rsidRPr="008B4349">
        <w:rPr>
          <w:i/>
        </w:rPr>
        <w:t>WSEAS Transactions on Mathematics, 3</w:t>
      </w:r>
      <w:r w:rsidRPr="008B4349">
        <w:t xml:space="preserve">, 537-542. </w:t>
      </w:r>
    </w:p>
    <w:p w14:paraId="7268290E" w14:textId="41CB7D81" w:rsidR="000E1641" w:rsidRPr="008B4349" w:rsidRDefault="000E1641" w:rsidP="00C5240A">
      <w:pPr>
        <w:pStyle w:val="ICMEReference"/>
      </w:pPr>
      <w:r w:rsidRPr="008B4349">
        <w:t xml:space="preserve">Dorier, J.-L., Robert, A., Robinet, J., &amp; Rogalski, M. (2000a). The obstacle of formalism in linear algebra. In J.-L. Dorier (Ed.), </w:t>
      </w:r>
      <w:r w:rsidRPr="008B4349">
        <w:rPr>
          <w:i/>
        </w:rPr>
        <w:t xml:space="preserve">On the </w:t>
      </w:r>
      <w:r w:rsidR="00374444" w:rsidRPr="008B4349">
        <w:rPr>
          <w:i/>
        </w:rPr>
        <w:t>t</w:t>
      </w:r>
      <w:r w:rsidRPr="008B4349">
        <w:rPr>
          <w:i/>
        </w:rPr>
        <w:t xml:space="preserve">eaching of </w:t>
      </w:r>
      <w:r w:rsidR="00374444" w:rsidRPr="008B4349">
        <w:rPr>
          <w:i/>
        </w:rPr>
        <w:t>l</w:t>
      </w:r>
      <w:r w:rsidRPr="008B4349">
        <w:rPr>
          <w:i/>
        </w:rPr>
        <w:t xml:space="preserve">inear </w:t>
      </w:r>
      <w:r w:rsidR="00374444" w:rsidRPr="008B4349">
        <w:rPr>
          <w:i/>
        </w:rPr>
        <w:t>a</w:t>
      </w:r>
      <w:r w:rsidRPr="008B4349">
        <w:rPr>
          <w:i/>
        </w:rPr>
        <w:t>lgebra</w:t>
      </w:r>
      <w:r w:rsidRPr="008B4349">
        <w:t xml:space="preserve"> (Vol. 23, pp. 85-124): Springer Netherlands.</w:t>
      </w:r>
    </w:p>
    <w:p w14:paraId="5B512C65" w14:textId="77777777" w:rsidR="00523677" w:rsidRPr="008B4349" w:rsidRDefault="00523677" w:rsidP="00C5240A">
      <w:pPr>
        <w:pStyle w:val="ICMEReference"/>
      </w:pPr>
      <w:r w:rsidRPr="008B4349">
        <w:t xml:space="preserve">Dorier, J. L., Robert, A., Robinet, J., &amp; Rogalski, M. (2000b). On a research programme concerning the teaching and learning of linear algebra in the first-year of a French science university. </w:t>
      </w:r>
      <w:r w:rsidRPr="008B4349">
        <w:rPr>
          <w:i/>
        </w:rPr>
        <w:t>International Journal of Mathematical Education in Science and Technology, 31</w:t>
      </w:r>
      <w:r w:rsidRPr="008B4349">
        <w:t xml:space="preserve">, 27-35. </w:t>
      </w:r>
    </w:p>
    <w:p w14:paraId="6415AF80" w14:textId="77777777" w:rsidR="006A6649" w:rsidRPr="008B4349" w:rsidRDefault="006A6649" w:rsidP="00C5240A">
      <w:pPr>
        <w:pStyle w:val="ICMEReference"/>
      </w:pPr>
      <w:r w:rsidRPr="008B4349">
        <w:lastRenderedPageBreak/>
        <w:t xml:space="preserve">Dubinsky, E., &amp; McDonald, M. (2001). APOS: A constructivist theory of learning. In D. Holton (Ed.) </w:t>
      </w:r>
      <w:r w:rsidRPr="008B4349">
        <w:rPr>
          <w:i/>
        </w:rPr>
        <w:t>The teaching and learning of mathematics at university level: An ICMI study</w:t>
      </w:r>
      <w:r w:rsidRPr="008B4349">
        <w:t xml:space="preserve"> (pp. 275–282). Dordrecht, The Netherlands: Kluwer Academic Publishers.</w:t>
      </w:r>
    </w:p>
    <w:p w14:paraId="6DF1D331" w14:textId="18412D93" w:rsidR="00523677" w:rsidRPr="008B4349" w:rsidRDefault="00523677" w:rsidP="00C5240A">
      <w:pPr>
        <w:pStyle w:val="ICMEReference"/>
      </w:pPr>
      <w:r w:rsidRPr="008B4349">
        <w:t>Durand-Guerrier</w:t>
      </w:r>
      <w:r w:rsidR="0088743C" w:rsidRPr="008B4349">
        <w:t>,</w:t>
      </w:r>
      <w:r w:rsidRPr="008B4349">
        <w:t xml:space="preserve"> V. (2003) Which notion of implication is the right one? From logical considerations to a didactic perspective</w:t>
      </w:r>
      <w:r w:rsidR="006A6649" w:rsidRPr="008B4349">
        <w:t>.</w:t>
      </w:r>
      <w:r w:rsidRPr="008B4349">
        <w:t xml:space="preserve"> </w:t>
      </w:r>
      <w:r w:rsidRPr="008B4349">
        <w:rPr>
          <w:i/>
        </w:rPr>
        <w:t>Educational Studies in Mathematics</w:t>
      </w:r>
      <w:r w:rsidRPr="008B4349">
        <w:t xml:space="preserve"> </w:t>
      </w:r>
      <w:r w:rsidRPr="008B4349">
        <w:rPr>
          <w:i/>
        </w:rPr>
        <w:t>53</w:t>
      </w:r>
      <w:r w:rsidRPr="008B4349">
        <w:t>, 5-34.</w:t>
      </w:r>
    </w:p>
    <w:p w14:paraId="082B185E" w14:textId="177E1BAC" w:rsidR="00523677" w:rsidRPr="008B4349" w:rsidRDefault="00523677" w:rsidP="00C5240A">
      <w:pPr>
        <w:pStyle w:val="ICMEReference"/>
      </w:pPr>
      <w:r w:rsidRPr="008B4349">
        <w:rPr>
          <w:rStyle w:val="spipsurligne"/>
        </w:rPr>
        <w:t>Durand-Guerrier</w:t>
      </w:r>
      <w:r w:rsidR="0088743C" w:rsidRPr="008B4349">
        <w:t>, V.</w:t>
      </w:r>
      <w:r w:rsidR="009639C5" w:rsidRPr="008B4349">
        <w:t>,</w:t>
      </w:r>
      <w:r w:rsidR="0088743C" w:rsidRPr="008B4349">
        <w:t xml:space="preserve"> &amp; Arsac, G. (2005).</w:t>
      </w:r>
      <w:r w:rsidRPr="008B4349">
        <w:t xml:space="preserve"> An epistemological and didactic study of a s</w:t>
      </w:r>
      <w:r w:rsidR="0088743C" w:rsidRPr="008B4349">
        <w:t>pecific calculus reasoning rule.</w:t>
      </w:r>
      <w:r w:rsidRPr="008B4349">
        <w:t xml:space="preserve"> </w:t>
      </w:r>
      <w:r w:rsidRPr="008B4349">
        <w:rPr>
          <w:i/>
        </w:rPr>
        <w:t>Educational Studies in Mathematics</w:t>
      </w:r>
      <w:r w:rsidRPr="008B4349">
        <w:t xml:space="preserve">, </w:t>
      </w:r>
      <w:r w:rsidRPr="008B4349">
        <w:rPr>
          <w:i/>
        </w:rPr>
        <w:t>60</w:t>
      </w:r>
      <w:r w:rsidR="00374444" w:rsidRPr="008B4349">
        <w:t>(</w:t>
      </w:r>
      <w:r w:rsidRPr="008B4349">
        <w:t>2</w:t>
      </w:r>
      <w:r w:rsidR="00374444" w:rsidRPr="008B4349">
        <w:t>)</w:t>
      </w:r>
      <w:r w:rsidRPr="008B4349">
        <w:t>, 149-172</w:t>
      </w:r>
    </w:p>
    <w:p w14:paraId="573AB859" w14:textId="4BDBA781" w:rsidR="003A7E84" w:rsidRPr="008B4349" w:rsidRDefault="00523677" w:rsidP="00C5240A">
      <w:pPr>
        <w:pStyle w:val="ICMEReference"/>
      </w:pPr>
      <w:r w:rsidRPr="008B4349">
        <w:t xml:space="preserve">Durand-Guerrier, V., </w:t>
      </w:r>
      <w:r w:rsidR="009639C5" w:rsidRPr="008B4349">
        <w:t xml:space="preserve">&amp; </w:t>
      </w:r>
      <w:r w:rsidRPr="008B4349">
        <w:t xml:space="preserve">Njomgang Ngansop, J. </w:t>
      </w:r>
      <w:r w:rsidR="003A7E84" w:rsidRPr="008B4349">
        <w:t xml:space="preserve">(2010). </w:t>
      </w:r>
      <w:r w:rsidRPr="008B4349">
        <w:t xml:space="preserve">Questions de logique et de langage à la transition secondaire – supérieur. L’exemple de la négation. In A. Kuzniak </w:t>
      </w:r>
      <w:r w:rsidR="0042771C" w:rsidRPr="008B4349">
        <w:t xml:space="preserve">&amp; </w:t>
      </w:r>
      <w:r w:rsidRPr="008B4349">
        <w:t>M. Sokhna (Eds.)</w:t>
      </w:r>
      <w:r w:rsidR="0042771C" w:rsidRPr="008B4349">
        <w:t>,</w:t>
      </w:r>
      <w:r w:rsidRPr="008B4349">
        <w:t xml:space="preserve"> Actes du Colloque International Espace</w:t>
      </w:r>
      <w:r w:rsidR="003A7E84" w:rsidRPr="008B4349">
        <w:t xml:space="preserve"> Mathématique Francophone 2009,</w:t>
      </w:r>
      <w:r w:rsidRPr="008B4349">
        <w:t xml:space="preserve"> Enseignement des mathématiques et développement, enjeux de société et de formation, </w:t>
      </w:r>
      <w:r w:rsidRPr="008B4349">
        <w:rPr>
          <w:i/>
        </w:rPr>
        <w:t>Revue Internationale Francophone</w:t>
      </w:r>
      <w:r w:rsidR="00320A4B">
        <w:t>.</w:t>
      </w:r>
    </w:p>
    <w:p w14:paraId="7DEDFCBE" w14:textId="77777777" w:rsidR="003572A3" w:rsidRPr="008B4349" w:rsidRDefault="003572A3" w:rsidP="00C5240A">
      <w:pPr>
        <w:pStyle w:val="ICMEReference"/>
      </w:pPr>
      <w:r w:rsidRPr="008B4349">
        <w:t xml:space="preserve">Engelbrecht, J. (2010). Adding structure to the transition process to advanced mathematical activity. </w:t>
      </w:r>
      <w:r w:rsidRPr="008B4349">
        <w:rPr>
          <w:i/>
          <w:iCs/>
        </w:rPr>
        <w:t>International Journal of Mathematical Education in Science and Technology</w:t>
      </w:r>
      <w:r w:rsidRPr="008B4349">
        <w:t xml:space="preserve">, </w:t>
      </w:r>
      <w:r w:rsidRPr="008B4349">
        <w:rPr>
          <w:i/>
          <w:iCs/>
        </w:rPr>
        <w:t>41</w:t>
      </w:r>
      <w:r w:rsidRPr="008B4349">
        <w:t>(2), 143-154. doi:10.1080/00207390903391890</w:t>
      </w:r>
    </w:p>
    <w:p w14:paraId="714E4ADD" w14:textId="76866D2B" w:rsidR="00523677" w:rsidRPr="008B4349" w:rsidRDefault="00523677" w:rsidP="00C5240A">
      <w:pPr>
        <w:pStyle w:val="ICMEReference"/>
      </w:pPr>
      <w:r w:rsidRPr="008B4349">
        <w:t xml:space="preserve">Engelbrecht, J., &amp; Harding, A. (2008). The impact of the transition to outcomes-based teaching on university preparedness in mathematics in South Africa, </w:t>
      </w:r>
      <w:r w:rsidRPr="008B4349">
        <w:rPr>
          <w:i/>
          <w:iCs/>
        </w:rPr>
        <w:t>Mathematics Education Research Journal, 2</w:t>
      </w:r>
      <w:r w:rsidRPr="008B4349">
        <w:t>0(2), 57-70.</w:t>
      </w:r>
    </w:p>
    <w:p w14:paraId="6D6F82C1" w14:textId="33A8D28E" w:rsidR="00071888" w:rsidRPr="008B4349" w:rsidRDefault="00071888" w:rsidP="00C5240A">
      <w:pPr>
        <w:pStyle w:val="ICMEReference"/>
      </w:pPr>
      <w:r w:rsidRPr="008B4349">
        <w:t xml:space="preserve">Engelbrecht, J., Harding, A., &amp; Potgieter, M. (2005). Undergraduate students’ performance and confidence in procedural and conceptual mathematics. </w:t>
      </w:r>
      <w:r w:rsidRPr="008B4349">
        <w:rPr>
          <w:i/>
        </w:rPr>
        <w:t>International Journal of Mathematical Education in Science and Technology, 36(</w:t>
      </w:r>
      <w:r w:rsidRPr="008B4349">
        <w:t>7), 701-712.</w:t>
      </w:r>
    </w:p>
    <w:p w14:paraId="639B025C" w14:textId="4126C693" w:rsidR="00523677" w:rsidRPr="008B4349" w:rsidRDefault="00523677" w:rsidP="00C5240A">
      <w:pPr>
        <w:pStyle w:val="ICMEReference"/>
        <w:rPr>
          <w:bCs/>
        </w:rPr>
      </w:pPr>
      <w:r w:rsidRPr="008B4349">
        <w:rPr>
          <w:bCs/>
        </w:rPr>
        <w:t>English</w:t>
      </w:r>
      <w:r w:rsidR="0042771C" w:rsidRPr="008B4349">
        <w:rPr>
          <w:bCs/>
        </w:rPr>
        <w:t>,</w:t>
      </w:r>
      <w:r w:rsidRPr="008B4349">
        <w:rPr>
          <w:bCs/>
        </w:rPr>
        <w:t xml:space="preserve"> L. </w:t>
      </w:r>
      <w:r w:rsidR="0042771C" w:rsidRPr="008B4349">
        <w:rPr>
          <w:bCs/>
        </w:rPr>
        <w:t xml:space="preserve">&amp; </w:t>
      </w:r>
      <w:r w:rsidRPr="008B4349">
        <w:rPr>
          <w:bCs/>
        </w:rPr>
        <w:t>Sriraman</w:t>
      </w:r>
      <w:r w:rsidR="0042771C" w:rsidRPr="008B4349">
        <w:rPr>
          <w:bCs/>
        </w:rPr>
        <w:t>,</w:t>
      </w:r>
      <w:r w:rsidRPr="008B4349">
        <w:rPr>
          <w:bCs/>
        </w:rPr>
        <w:t xml:space="preserve"> B. (2010). Problem </w:t>
      </w:r>
      <w:r w:rsidR="0042771C" w:rsidRPr="008B4349">
        <w:rPr>
          <w:bCs/>
        </w:rPr>
        <w:t>s</w:t>
      </w:r>
      <w:r w:rsidRPr="008B4349">
        <w:rPr>
          <w:bCs/>
        </w:rPr>
        <w:t xml:space="preserve">olving for the 21st Century. In </w:t>
      </w:r>
      <w:r w:rsidRPr="008B4349">
        <w:t xml:space="preserve">B. Sriraman, &amp; L. English (Eds.), </w:t>
      </w:r>
      <w:r w:rsidRPr="008B4349">
        <w:rPr>
          <w:i/>
          <w:iCs/>
        </w:rPr>
        <w:t xml:space="preserve">Theories of mathematics education, </w:t>
      </w:r>
      <w:r w:rsidRPr="008B4349">
        <w:rPr>
          <w:i/>
        </w:rPr>
        <w:t>advances in mathematics education</w:t>
      </w:r>
      <w:r w:rsidRPr="008B4349">
        <w:t xml:space="preserve"> (pp. 263-290). Berlin: Springer-Verlag. DOI 10.1007/978-3-642-00742-2_27</w:t>
      </w:r>
    </w:p>
    <w:p w14:paraId="7610BB1C" w14:textId="0C998DA6" w:rsidR="00523677" w:rsidRDefault="00523677" w:rsidP="00C5240A">
      <w:pPr>
        <w:pStyle w:val="ICMEReference"/>
      </w:pPr>
      <w:r w:rsidRPr="008B4349">
        <w:t xml:space="preserve">Gainsburg, J. (2008). Real-world connections in secondary mathematics teaching. </w:t>
      </w:r>
      <w:r w:rsidRPr="008B4349">
        <w:rPr>
          <w:i/>
        </w:rPr>
        <w:t>J</w:t>
      </w:r>
      <w:r w:rsidR="004E0164" w:rsidRPr="008B4349">
        <w:rPr>
          <w:i/>
        </w:rPr>
        <w:t xml:space="preserve">ournal of </w:t>
      </w:r>
      <w:r w:rsidRPr="008B4349">
        <w:rPr>
          <w:i/>
        </w:rPr>
        <w:t>Math</w:t>
      </w:r>
      <w:r w:rsidR="004E0164" w:rsidRPr="008B4349">
        <w:rPr>
          <w:i/>
        </w:rPr>
        <w:t>ematics</w:t>
      </w:r>
      <w:r w:rsidRPr="008B4349">
        <w:rPr>
          <w:i/>
        </w:rPr>
        <w:t xml:space="preserve"> Teacher Educ</w:t>
      </w:r>
      <w:r w:rsidR="004E0164" w:rsidRPr="008B4349">
        <w:rPr>
          <w:i/>
        </w:rPr>
        <w:t>ation,</w:t>
      </w:r>
      <w:r w:rsidR="004E0164" w:rsidRPr="008B4349">
        <w:t xml:space="preserve"> </w:t>
      </w:r>
      <w:r w:rsidR="004E0164" w:rsidRPr="008B4349">
        <w:rPr>
          <w:i/>
        </w:rPr>
        <w:t>11</w:t>
      </w:r>
      <w:r w:rsidR="004E0164" w:rsidRPr="008B4349">
        <w:t xml:space="preserve">, </w:t>
      </w:r>
      <w:r w:rsidRPr="008B4349">
        <w:t xml:space="preserve">199–219. </w:t>
      </w:r>
    </w:p>
    <w:p w14:paraId="79DBE3DB" w14:textId="255E412A" w:rsidR="00D83531" w:rsidRPr="008B4349" w:rsidRDefault="00D83531" w:rsidP="00C5240A">
      <w:pPr>
        <w:pStyle w:val="ICMEReference"/>
      </w:pPr>
      <w:r>
        <w:rPr>
          <w:rFonts w:eastAsia="Times New Roman"/>
        </w:rPr>
        <w:t>Garuti, R., Boero, P., Lemut, E., &amp; Mariotti, M. A. (1996). Challenging the traditional school approach to theorems: A hypothesis about the cognitive unity of theorems. In Proceedings of PME-XX, (Vol. 2, pp. 113-120), Valencia: IGPME.</w:t>
      </w:r>
    </w:p>
    <w:p w14:paraId="0C29BD64" w14:textId="117308C9" w:rsidR="00523677" w:rsidRPr="008B4349" w:rsidRDefault="00320A4B" w:rsidP="00C5240A">
      <w:pPr>
        <w:pStyle w:val="ICMEReference"/>
        <w:rPr>
          <w:rFonts w:eastAsia="Times New Roman"/>
        </w:rPr>
      </w:pPr>
      <w:r>
        <w:t>Ghedamsi, I. (2008</w:t>
      </w:r>
      <w:r w:rsidR="00523677" w:rsidRPr="008B4349">
        <w:t>). Enseignement du début de l'analyse réelle à l'entrée à l'université: Articuler contrôles pragmatique et formel dans des situations à dimension a-didactique. Unpublished doctoral dissertation, University of Tunis</w:t>
      </w:r>
      <w:r w:rsidR="00523677" w:rsidRPr="008B4349">
        <w:rPr>
          <w:rFonts w:eastAsia="Times New Roman"/>
        </w:rPr>
        <w:t>.</w:t>
      </w:r>
    </w:p>
    <w:p w14:paraId="00E73BA4" w14:textId="5C35F694" w:rsidR="00891F12" w:rsidRPr="008B4349" w:rsidRDefault="00891F12" w:rsidP="00C5240A">
      <w:pPr>
        <w:pStyle w:val="ICMEReference"/>
      </w:pPr>
      <w:r w:rsidRPr="008B4349">
        <w:t>Gill, O., O’Donoghue, J., Faulkner, F.</w:t>
      </w:r>
      <w:r w:rsidR="00182656" w:rsidRPr="008B4349">
        <w:t>,</w:t>
      </w:r>
      <w:r w:rsidRPr="008B4349">
        <w:t xml:space="preserve"> &amp; Hannigan, A. (2010). Trends in performance of science and technology students (1997–2008) in Ireland. </w:t>
      </w:r>
      <w:r w:rsidRPr="008B4349">
        <w:rPr>
          <w:i/>
          <w:iCs/>
        </w:rPr>
        <w:t>International Journal of Mathematical Education in Science and Technology</w:t>
      </w:r>
      <w:r w:rsidRPr="008B4349">
        <w:t xml:space="preserve">, </w:t>
      </w:r>
      <w:r w:rsidRPr="008B4349">
        <w:rPr>
          <w:i/>
          <w:iCs/>
        </w:rPr>
        <w:t>41</w:t>
      </w:r>
      <w:r w:rsidRPr="008B4349">
        <w:t>(3), 323-339. doi:10.1080/00207390903477426</w:t>
      </w:r>
    </w:p>
    <w:p w14:paraId="7302146E" w14:textId="0AE17E21" w:rsidR="00E319EA" w:rsidRPr="008B4349" w:rsidRDefault="00E319EA" w:rsidP="00C5240A">
      <w:pPr>
        <w:pStyle w:val="ICMEReference"/>
      </w:pPr>
      <w:r w:rsidRPr="008B4349">
        <w:t xml:space="preserve">Godfrey, D., &amp; Thomas, M. O. J. (2008). Student perspectives on equation: The transition from school to university. </w:t>
      </w:r>
      <w:r w:rsidRPr="008B4349">
        <w:rPr>
          <w:i/>
        </w:rPr>
        <w:t>Mathematics Education Research Journal</w:t>
      </w:r>
      <w:r w:rsidRPr="008B4349">
        <w:t xml:space="preserve">, </w:t>
      </w:r>
      <w:r w:rsidRPr="008B4349">
        <w:rPr>
          <w:i/>
        </w:rPr>
        <w:t>20</w:t>
      </w:r>
      <w:r w:rsidRPr="008B4349">
        <w:t xml:space="preserve">(2), 71-92. </w:t>
      </w:r>
    </w:p>
    <w:p w14:paraId="655E7556" w14:textId="5A602026" w:rsidR="00916142" w:rsidRPr="008B4349" w:rsidRDefault="00523677" w:rsidP="00C5240A">
      <w:pPr>
        <w:pStyle w:val="ICMEReference"/>
      </w:pPr>
      <w:r w:rsidRPr="008B4349">
        <w:t xml:space="preserve">González-Martín, A. (2009). L’introduction du concept de somme infinie : une première approche à travers l’analyse des manuels. </w:t>
      </w:r>
      <w:r w:rsidRPr="008B4349">
        <w:rPr>
          <w:i/>
        </w:rPr>
        <w:t>Actes du colloque EMF 2009</w:t>
      </w:r>
      <w:r w:rsidRPr="008B4349">
        <w:t>. Groupe de travail 7</w:t>
      </w:r>
      <w:r w:rsidR="00916142" w:rsidRPr="008B4349">
        <w:t xml:space="preserve">, </w:t>
      </w:r>
      <w:r w:rsidRPr="008B4349">
        <w:t>1048-1061</w:t>
      </w:r>
      <w:r w:rsidR="00916142" w:rsidRPr="008B4349">
        <w:t>.</w:t>
      </w:r>
    </w:p>
    <w:p w14:paraId="38536864" w14:textId="34BE2726" w:rsidR="00523677" w:rsidRPr="008B4349" w:rsidRDefault="00916142" w:rsidP="00C5240A">
      <w:pPr>
        <w:pStyle w:val="ICMEReference"/>
      </w:pPr>
      <w:r w:rsidRPr="008B4349">
        <w:t xml:space="preserve">González-Martín, A. S., Nardi, E., &amp; Biza, I. (2011). </w:t>
      </w:r>
      <w:hyperlink r:id="rId17" w:history="1">
        <w:r w:rsidRPr="008B4349">
          <w:rPr>
            <w:rStyle w:val="Hyperlink"/>
            <w:color w:val="auto"/>
            <w:u w:val="none"/>
            <w:lang w:eastAsia="en-GB"/>
          </w:rPr>
          <w:t>Conceptually-driven and visually-rich tasks in texts and teaching practice: The case of infinite series</w:t>
        </w:r>
      </w:hyperlink>
      <w:r w:rsidRPr="008B4349">
        <w:t xml:space="preserve">. </w:t>
      </w:r>
      <w:r w:rsidRPr="008B4349">
        <w:rPr>
          <w:i/>
          <w:iCs/>
        </w:rPr>
        <w:t>International Journal of Mathematical Education in Science and Technology, 42</w:t>
      </w:r>
      <w:r w:rsidRPr="008B4349">
        <w:t>(5), 565-589.</w:t>
      </w:r>
    </w:p>
    <w:p w14:paraId="72D88D9B" w14:textId="233C3D15" w:rsidR="00523677" w:rsidRPr="008B4349" w:rsidRDefault="00523677" w:rsidP="00C5240A">
      <w:pPr>
        <w:pStyle w:val="ICMEReference"/>
        <w:rPr>
          <w:bCs/>
          <w:lang w:eastAsia="zh-CN"/>
        </w:rPr>
      </w:pPr>
      <w:r w:rsidRPr="008B4349">
        <w:lastRenderedPageBreak/>
        <w:t>Göttlich</w:t>
      </w:r>
      <w:r w:rsidR="0042771C" w:rsidRPr="008B4349">
        <w:t>,</w:t>
      </w:r>
      <w:r w:rsidRPr="008B4349">
        <w:t xml:space="preserve"> S. (2010). Modelling with students – A practical approach. In </w:t>
      </w:r>
      <w:r w:rsidR="0042771C" w:rsidRPr="008B4349">
        <w:t xml:space="preserve">A. </w:t>
      </w:r>
      <w:r w:rsidRPr="008B4349">
        <w:t>Araújo</w:t>
      </w:r>
      <w:r w:rsidR="0042771C" w:rsidRPr="008B4349">
        <w:t>,</w:t>
      </w:r>
      <w:r w:rsidRPr="008B4349">
        <w:t xml:space="preserve"> A. Fernandes</w:t>
      </w:r>
      <w:r w:rsidR="0042771C" w:rsidRPr="008B4349">
        <w:t>,</w:t>
      </w:r>
      <w:r w:rsidRPr="008B4349">
        <w:t xml:space="preserve"> A. Azevedo</w:t>
      </w:r>
      <w:r w:rsidR="0042771C" w:rsidRPr="008B4349">
        <w:t>,</w:t>
      </w:r>
      <w:r w:rsidRPr="008B4349">
        <w:t xml:space="preserve"> </w:t>
      </w:r>
      <w:r w:rsidR="0042771C" w:rsidRPr="008B4349">
        <w:t>J. F.</w:t>
      </w:r>
      <w:r w:rsidRPr="008B4349">
        <w:t xml:space="preserve"> Rodrigues (Eds.)</w:t>
      </w:r>
      <w:r w:rsidR="0042771C" w:rsidRPr="008B4349">
        <w:t>,</w:t>
      </w:r>
      <w:r w:rsidRPr="008B4349">
        <w:t xml:space="preserve"> </w:t>
      </w:r>
      <w:r w:rsidRPr="008B4349">
        <w:rPr>
          <w:i/>
          <w:lang w:eastAsia="zh-CN"/>
        </w:rPr>
        <w:t>EI</w:t>
      </w:r>
      <w:r w:rsidRPr="008B4349">
        <w:rPr>
          <w:i/>
        </w:rPr>
        <w:t xml:space="preserve">MI 2010 Conference </w:t>
      </w:r>
      <w:r w:rsidRPr="008B4349">
        <w:t>(</w:t>
      </w:r>
      <w:r w:rsidRPr="008B4349">
        <w:rPr>
          <w:i/>
        </w:rPr>
        <w:t>educational interfaces between mathematics and industry</w:t>
      </w:r>
      <w:r w:rsidRPr="008B4349">
        <w:t>)</w:t>
      </w:r>
      <w:r w:rsidRPr="008B4349">
        <w:rPr>
          <w:i/>
        </w:rPr>
        <w:t xml:space="preserve"> Proceedings.</w:t>
      </w:r>
      <w:r w:rsidRPr="008B4349">
        <w:t xml:space="preserve"> Comap Inc., Bedford, MA, USA.</w:t>
      </w:r>
    </w:p>
    <w:p w14:paraId="29D1E8F8" w14:textId="77777777" w:rsidR="004E0164" w:rsidRPr="008B4349" w:rsidRDefault="004E0164" w:rsidP="00C5240A">
      <w:pPr>
        <w:pStyle w:val="ICMEReference"/>
      </w:pPr>
      <w:r w:rsidRPr="008B4349">
        <w:t xml:space="preserve">Gueudet, G. (2004). Rôle du géométrique dans l’enseignement de l’algèbre linéaire </w:t>
      </w:r>
      <w:r w:rsidRPr="008B4349">
        <w:rPr>
          <w:i/>
        </w:rPr>
        <w:t>Recherches en Didactique des Mathématiques</w:t>
      </w:r>
      <w:r w:rsidRPr="008B4349">
        <w:t xml:space="preserve"> 24/1, 81-114, France.</w:t>
      </w:r>
    </w:p>
    <w:p w14:paraId="34366723" w14:textId="70D3809C" w:rsidR="0026224F" w:rsidRPr="008B4349" w:rsidRDefault="00320A4B" w:rsidP="00C5240A">
      <w:pPr>
        <w:pStyle w:val="ICMEReference"/>
      </w:pPr>
      <w:r>
        <w:t>Gueudet, G. (2008</w:t>
      </w:r>
      <w:r w:rsidR="0026224F" w:rsidRPr="008B4349">
        <w:t xml:space="preserve">). Investigating the secondary-tertiary transition. </w:t>
      </w:r>
      <w:r w:rsidR="0026224F" w:rsidRPr="008B4349">
        <w:rPr>
          <w:i/>
        </w:rPr>
        <w:t>Educational Studies in Mathematics, 67</w:t>
      </w:r>
      <w:r w:rsidR="0026224F" w:rsidRPr="008B4349">
        <w:t>(3), 237-254.</w:t>
      </w:r>
    </w:p>
    <w:p w14:paraId="23201A05" w14:textId="77777777" w:rsidR="00523677" w:rsidRPr="008B4349" w:rsidRDefault="00523677" w:rsidP="00C5240A">
      <w:pPr>
        <w:pStyle w:val="ICMEReference"/>
      </w:pPr>
      <w:r w:rsidRPr="008B4349">
        <w:t xml:space="preserve">Gueudet-Chartier, G. (2004). Should we teach linear algebra through geometry? </w:t>
      </w:r>
      <w:r w:rsidRPr="008B4349">
        <w:rPr>
          <w:i/>
        </w:rPr>
        <w:t>Linear Algebra and its Applications, 379</w:t>
      </w:r>
      <w:r w:rsidRPr="008B4349">
        <w:t xml:space="preserve">, 491-501. </w:t>
      </w:r>
    </w:p>
    <w:p w14:paraId="19833E35" w14:textId="59000387" w:rsidR="00523677" w:rsidRPr="008B4349" w:rsidRDefault="00523677" w:rsidP="00C5240A">
      <w:pPr>
        <w:pStyle w:val="ICMEReference"/>
        <w:rPr>
          <w:lang w:eastAsia="en-GB"/>
        </w:rPr>
      </w:pPr>
      <w:r w:rsidRPr="008B4349">
        <w:rPr>
          <w:lang w:eastAsia="en-GB"/>
        </w:rPr>
        <w:t>Gyöngyösi, E., Solovej, J.</w:t>
      </w:r>
      <w:r w:rsidR="0010557F" w:rsidRPr="008B4349">
        <w:rPr>
          <w:lang w:eastAsia="en-GB"/>
        </w:rPr>
        <w:t xml:space="preserve"> </w:t>
      </w:r>
      <w:r w:rsidRPr="008B4349">
        <w:rPr>
          <w:lang w:eastAsia="en-GB"/>
        </w:rPr>
        <w:t>P.</w:t>
      </w:r>
      <w:r w:rsidR="0010557F" w:rsidRPr="008B4349">
        <w:rPr>
          <w:lang w:eastAsia="en-GB"/>
        </w:rPr>
        <w:t>,</w:t>
      </w:r>
      <w:r w:rsidRPr="008B4349">
        <w:rPr>
          <w:lang w:eastAsia="en-GB"/>
        </w:rPr>
        <w:t xml:space="preserve"> &amp; Winsl</w:t>
      </w:r>
      <w:r w:rsidR="0042771C" w:rsidRPr="008B4349">
        <w:rPr>
          <w:lang w:val="fr-FR"/>
        </w:rPr>
        <w:t>ø</w:t>
      </w:r>
      <w:r w:rsidRPr="008B4349">
        <w:rPr>
          <w:lang w:eastAsia="en-GB"/>
        </w:rPr>
        <w:t xml:space="preserve">w, C. </w:t>
      </w:r>
      <w:r w:rsidRPr="008B4349">
        <w:t xml:space="preserve">(2011).  Using CAS based work to ease the transition from calculus to real analysis. In M. Pytlak, T. Rowland, &amp; E. Swoboda (Eds.), </w:t>
      </w:r>
      <w:r w:rsidRPr="008B4349">
        <w:rPr>
          <w:i/>
        </w:rPr>
        <w:t>Proceedings of the 7th Conference of European Researchers in Mathematics Education</w:t>
      </w:r>
      <w:r w:rsidRPr="008B4349">
        <w:t xml:space="preserve"> (pp. 2002-2011). Rzeszow, Poland.</w:t>
      </w:r>
    </w:p>
    <w:p w14:paraId="5AF62735" w14:textId="3203D8C4" w:rsidR="00523677" w:rsidRPr="008B4349" w:rsidRDefault="00523677" w:rsidP="00C5240A">
      <w:pPr>
        <w:pStyle w:val="ICMEReference"/>
        <w:rPr>
          <w:color w:val="131313"/>
        </w:rPr>
      </w:pPr>
      <w:r w:rsidRPr="008B4349">
        <w:t xml:space="preserve">Hanna, G., &amp; </w:t>
      </w:r>
      <w:r w:rsidR="004100BC" w:rsidRPr="008B4349">
        <w:t>Barbeau</w:t>
      </w:r>
      <w:r w:rsidRPr="008B4349">
        <w:t xml:space="preserve">, E. (2008). Proofs as bearers of mathematical knowledge. </w:t>
      </w:r>
      <w:r w:rsidR="004100BC" w:rsidRPr="008B4349">
        <w:t>Barbeau</w:t>
      </w:r>
      <w:r w:rsidRPr="008B4349">
        <w:rPr>
          <w:i/>
          <w:color w:val="131313"/>
        </w:rPr>
        <w:t xml:space="preserve"> – The International Journal on Mathematics Education, 40, </w:t>
      </w:r>
      <w:r w:rsidRPr="008B4349">
        <w:rPr>
          <w:color w:val="131313"/>
        </w:rPr>
        <w:t>345-353.</w:t>
      </w:r>
    </w:p>
    <w:p w14:paraId="37BA4208" w14:textId="6AF772AE" w:rsidR="00692408" w:rsidRDefault="00692408" w:rsidP="00C5240A">
      <w:pPr>
        <w:pStyle w:val="ICMEReference"/>
      </w:pPr>
      <w:r w:rsidRPr="008B4349">
        <w:t xml:space="preserve">Hanna, G., &amp; de Villiers, M. (2008). ICMI Study 19: Proof and proving in mathematics education. </w:t>
      </w:r>
      <w:r w:rsidRPr="008B4349">
        <w:rPr>
          <w:i/>
        </w:rPr>
        <w:t>ZDM – The International Journal on Mathematics Education, 40</w:t>
      </w:r>
      <w:r w:rsidRPr="008B4349">
        <w:t xml:space="preserve">, 329–336. </w:t>
      </w:r>
    </w:p>
    <w:p w14:paraId="614AD19C" w14:textId="1F1A40CD" w:rsidR="00433AF8" w:rsidRPr="008B4349" w:rsidRDefault="00433AF8" w:rsidP="00C5240A">
      <w:pPr>
        <w:pStyle w:val="ICMEReference"/>
      </w:pPr>
      <w:r w:rsidRPr="00BD3BF5">
        <w:t>Hanna, G., &amp; de Villiers, M. (2012).</w:t>
      </w:r>
      <w:r w:rsidR="00BD3BF5">
        <w:t xml:space="preserve"> </w:t>
      </w:r>
      <w:r w:rsidR="00BD3BF5" w:rsidRPr="00EA0BFA">
        <w:rPr>
          <w:rStyle w:val="nfase"/>
        </w:rPr>
        <w:t>Proof and Proving in Mathematics Education</w:t>
      </w:r>
      <w:r w:rsidR="00BD3BF5" w:rsidRPr="00EA0BFA">
        <w:t xml:space="preserve">: </w:t>
      </w:r>
      <w:r w:rsidR="00BD3BF5" w:rsidRPr="00EA0BFA">
        <w:rPr>
          <w:i/>
        </w:rPr>
        <w:t>The 19</w:t>
      </w:r>
      <w:r w:rsidR="00BD3BF5" w:rsidRPr="00EA0BFA">
        <w:rPr>
          <w:i/>
          <w:vertAlign w:val="superscript"/>
        </w:rPr>
        <w:t>th</w:t>
      </w:r>
      <w:r w:rsidR="00BD3BF5" w:rsidRPr="00EA0BFA">
        <w:rPr>
          <w:i/>
        </w:rPr>
        <w:t xml:space="preserve"> ICMI study</w:t>
      </w:r>
      <w:r w:rsidR="00BD3BF5">
        <w:t>. Dordrecht: Springer.</w:t>
      </w:r>
    </w:p>
    <w:p w14:paraId="483FB7D6" w14:textId="77777777" w:rsidR="00523677" w:rsidRPr="008B4349" w:rsidRDefault="00523677" w:rsidP="00C5240A">
      <w:pPr>
        <w:pStyle w:val="ICMEReference"/>
      </w:pPr>
      <w:r w:rsidRPr="008B4349">
        <w:t xml:space="preserve">Harel, G. (1990). Using geometric models and vector arithmetic to teach high-school students basic notions in linear algebra. </w:t>
      </w:r>
      <w:r w:rsidRPr="008B4349">
        <w:rPr>
          <w:i/>
        </w:rPr>
        <w:t>International Journal of Mathematical Education in Science and Technology, 21</w:t>
      </w:r>
      <w:r w:rsidRPr="008B4349">
        <w:t xml:space="preserve">, 387-392. </w:t>
      </w:r>
    </w:p>
    <w:p w14:paraId="73D6E405" w14:textId="77777777" w:rsidR="00523677" w:rsidRPr="008B4349" w:rsidRDefault="00523677" w:rsidP="00C5240A">
      <w:pPr>
        <w:pStyle w:val="ICMEReference"/>
      </w:pPr>
      <w:r w:rsidRPr="008B4349">
        <w:t xml:space="preserve">Harel, G. (2008). DNR perspective on mathematics curriculum and instruction, Part I: focus on proving. </w:t>
      </w:r>
      <w:r w:rsidRPr="008B4349">
        <w:rPr>
          <w:i/>
          <w:color w:val="131313"/>
        </w:rPr>
        <w:t>ZDM – The International Journal on Mathematics Education, 40</w:t>
      </w:r>
      <w:r w:rsidRPr="008B4349">
        <w:rPr>
          <w:color w:val="131313"/>
        </w:rPr>
        <w:t xml:space="preserve">(3), </w:t>
      </w:r>
      <w:r w:rsidRPr="008B4349">
        <w:t>487–500.</w:t>
      </w:r>
    </w:p>
    <w:p w14:paraId="68C61FD6" w14:textId="7710D9E3" w:rsidR="00636F61" w:rsidRPr="008B4349" w:rsidRDefault="000266CB" w:rsidP="00C5240A">
      <w:pPr>
        <w:pStyle w:val="ICMEReference"/>
      </w:pPr>
      <w:r w:rsidRPr="008B4349">
        <w:t xml:space="preserve">Hart, E. W. </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Pr="008B4349">
        <w:t xml:space="preserve"> </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Pr="008B4349">
        <w:t xml:space="preserve"> </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Pr="008B4349">
        <w:t xml:space="preserve"> </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Pr="008B4349">
        <w:t xml:space="preserve"> </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 xml:space="preserve"> </w:t>
      </w:r>
      <w:r w:rsidR="00636F61" w:rsidRPr="008B4349">
        <w:t></w:t>
      </w:r>
      <w:r w:rsidR="00636F61" w:rsidRPr="008B4349">
        <w:t></w:t>
      </w:r>
      <w:r w:rsidR="00636F61" w:rsidRPr="008B4349">
        <w:t xml:space="preserve"> </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 xml:space="preserve"> </w:t>
      </w:r>
      <w:r w:rsidR="00636F61" w:rsidRPr="008B4349">
        <w:t></w:t>
      </w:r>
      <w:r w:rsidR="00636F61" w:rsidRPr="008B4349">
        <w:t></w:t>
      </w:r>
      <w:r w:rsidR="00636F61" w:rsidRPr="008B4349">
        <w:t></w:t>
      </w:r>
      <w:r w:rsidR="00636F61" w:rsidRPr="008B4349">
        <w:t></w:t>
      </w:r>
      <w:r w:rsidR="00636F61" w:rsidRPr="008B4349">
        <w:t></w:t>
      </w:r>
      <w:r w:rsidR="00636F61" w:rsidRPr="008B4349">
        <w:t xml:space="preserve"> </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 xml:space="preserve"> </w:t>
      </w:r>
      <w:r w:rsidR="00636F61" w:rsidRPr="008B4349">
        <w:t></w:t>
      </w:r>
      <w:r w:rsidR="00636F61" w:rsidRPr="008B4349">
        <w:t></w:t>
      </w:r>
      <w:r w:rsidRPr="008B4349">
        <w:t xml:space="preserve"> </w:t>
      </w:r>
      <w:r w:rsidR="00636F61" w:rsidRPr="008B4349">
        <w:t></w:t>
      </w:r>
      <w:r w:rsidR="00636F61" w:rsidRPr="008B4349">
        <w:t></w:t>
      </w:r>
      <w:r w:rsidR="00636F61" w:rsidRPr="008B4349">
        <w:t xml:space="preserve"> </w:t>
      </w:r>
      <w:r w:rsidR="00636F61" w:rsidRPr="008B4349">
        <w:t></w:t>
      </w:r>
      <w:r w:rsidR="00636F61" w:rsidRPr="008B4349">
        <w:t></w:t>
      </w:r>
      <w:r w:rsidR="00636F61" w:rsidRPr="008B4349">
        <w:t></w:t>
      </w:r>
      <w:r w:rsidR="00636F61" w:rsidRPr="008B4349">
        <w:t></w:t>
      </w:r>
      <w:r w:rsidR="00636F61" w:rsidRPr="008B4349">
        <w:t></w:t>
      </w:r>
      <w:r w:rsidR="00636F61" w:rsidRPr="008B4349">
        <w:t xml:space="preserve"> </w:t>
      </w:r>
      <w:r w:rsidRPr="008B4349">
        <w:t>&amp;</w:t>
      </w:r>
      <w:r w:rsidR="00636F61" w:rsidRPr="008B4349">
        <w:t xml:space="preserve"> </w:t>
      </w:r>
      <w:r w:rsidR="00636F61" w:rsidRPr="008B4349">
        <w:t></w:t>
      </w:r>
      <w:r w:rsidR="00636F61" w:rsidRPr="008B4349">
        <w:t></w:t>
      </w:r>
      <w:r w:rsidR="00636F61" w:rsidRPr="008B4349">
        <w:t xml:space="preserve"> </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 xml:space="preserve"> </w:t>
      </w:r>
      <w:r w:rsidR="00636F61" w:rsidRPr="008B4349">
        <w:t>E</w:t>
      </w:r>
      <w:r w:rsidR="00636F61" w:rsidRPr="008B4349">
        <w:t></w:t>
      </w:r>
      <w:r w:rsidR="00636F61" w:rsidRPr="008B4349">
        <w:t></w:t>
      </w:r>
      <w:r w:rsidR="00636F61" w:rsidRPr="008B4349">
        <w:t></w:t>
      </w:r>
      <w:r w:rsidR="00636F61" w:rsidRPr="008B4349">
        <w:t></w:t>
      </w:r>
      <w:r w:rsidR="00636F61" w:rsidRPr="008B4349">
        <w:t></w:t>
      </w:r>
      <w:r w:rsidR="00636F61" w:rsidRPr="008B4349">
        <w:t xml:space="preserve"> </w:t>
      </w:r>
      <w:r w:rsidR="00636F61" w:rsidRPr="008B4349">
        <w:rPr>
          <w:i/>
          <w:iCs/>
        </w:rPr>
        <w:t>Research</w:t>
      </w:r>
      <w:r w:rsidR="00636F61" w:rsidRPr="008B4349">
        <w:t xml:space="preserve"> </w:t>
      </w:r>
      <w:r w:rsidR="00636F61" w:rsidRPr="008B4349">
        <w:rPr>
          <w:i/>
          <w:iCs/>
        </w:rPr>
        <w:t xml:space="preserve">Issues in Undergraduate Mathematics Learning: Preliminary Analysis and Results, </w:t>
      </w:r>
      <w:r w:rsidR="00636F61" w:rsidRPr="008B4349">
        <w:t xml:space="preserve">MAA Notes 33, </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r w:rsidR="00636F61" w:rsidRPr="008B4349">
        <w:t></w:t>
      </w:r>
    </w:p>
    <w:p w14:paraId="4C24A56C" w14:textId="06C39F34" w:rsidR="00523677" w:rsidRPr="008B4349" w:rsidRDefault="00523677" w:rsidP="00C5240A">
      <w:pPr>
        <w:pStyle w:val="ICMEReference"/>
      </w:pPr>
      <w:r w:rsidRPr="008B4349">
        <w:t xml:space="preserve">Hazzan, O. (1999). Reducing abstraction level when learning </w:t>
      </w:r>
      <w:r w:rsidR="005242C9" w:rsidRPr="008B4349">
        <w:t>a</w:t>
      </w:r>
      <w:r w:rsidRPr="008B4349">
        <w:t xml:space="preserve">bstract </w:t>
      </w:r>
      <w:r w:rsidR="005242C9" w:rsidRPr="008B4349">
        <w:t>a</w:t>
      </w:r>
      <w:r w:rsidRPr="008B4349">
        <w:t xml:space="preserve">lgebra concepts. </w:t>
      </w:r>
      <w:r w:rsidRPr="008B4349">
        <w:rPr>
          <w:i/>
        </w:rPr>
        <w:t>Educational Studies in Mathematics</w:t>
      </w:r>
      <w:r w:rsidR="005242C9" w:rsidRPr="008B4349">
        <w:rPr>
          <w:i/>
        </w:rPr>
        <w:t>,</w:t>
      </w:r>
      <w:r w:rsidRPr="008B4349">
        <w:t xml:space="preserve"> </w:t>
      </w:r>
      <w:r w:rsidRPr="008B4349">
        <w:rPr>
          <w:bCs/>
          <w:i/>
        </w:rPr>
        <w:t>40</w:t>
      </w:r>
      <w:r w:rsidR="005242C9" w:rsidRPr="008B4349">
        <w:t>,</w:t>
      </w:r>
      <w:r w:rsidRPr="008B4349">
        <w:t xml:space="preserve"> 71-90.</w:t>
      </w:r>
    </w:p>
    <w:p w14:paraId="34EAFFD8" w14:textId="767FD88E" w:rsidR="00523677" w:rsidRPr="008B4349" w:rsidRDefault="00523677" w:rsidP="00C5240A">
      <w:pPr>
        <w:pStyle w:val="ICMEReference"/>
      </w:pPr>
      <w:r w:rsidRPr="008B4349">
        <w:t xml:space="preserve">Hazzan, O. (2001). Reducing </w:t>
      </w:r>
      <w:r w:rsidR="005242C9" w:rsidRPr="008B4349">
        <w:t>a</w:t>
      </w:r>
      <w:r w:rsidRPr="008B4349">
        <w:t xml:space="preserve">bstraction: The case of constructing an operation table for a group. </w:t>
      </w:r>
      <w:r w:rsidRPr="008B4349">
        <w:rPr>
          <w:i/>
        </w:rPr>
        <w:t>Journal of Mathematical Behavior</w:t>
      </w:r>
      <w:r w:rsidR="005242C9" w:rsidRPr="008B4349">
        <w:rPr>
          <w:i/>
        </w:rPr>
        <w:t>,</w:t>
      </w:r>
      <w:r w:rsidRPr="008B4349">
        <w:t xml:space="preserve"> </w:t>
      </w:r>
      <w:r w:rsidRPr="008B4349">
        <w:rPr>
          <w:bCs/>
          <w:i/>
        </w:rPr>
        <w:t>20</w:t>
      </w:r>
      <w:r w:rsidR="005242C9" w:rsidRPr="008B4349">
        <w:rPr>
          <w:i/>
        </w:rPr>
        <w:t>,</w:t>
      </w:r>
      <w:r w:rsidRPr="008B4349">
        <w:t xml:space="preserve"> 163-172.</w:t>
      </w:r>
    </w:p>
    <w:p w14:paraId="7B4DC65F" w14:textId="21A3A7D0" w:rsidR="00523677" w:rsidRPr="008B4349" w:rsidRDefault="00523677" w:rsidP="00C5240A">
      <w:pPr>
        <w:pStyle w:val="ICMEReference"/>
        <w:rPr>
          <w:bCs/>
          <w:color w:val="131313"/>
          <w:lang w:eastAsia="zh-CN"/>
        </w:rPr>
      </w:pPr>
      <w:r w:rsidRPr="008B4349">
        <w:t>Heilio</w:t>
      </w:r>
      <w:r w:rsidR="001920C4" w:rsidRPr="008B4349">
        <w:t>,</w:t>
      </w:r>
      <w:r w:rsidRPr="008B4349">
        <w:t xml:space="preserve"> M. (2010). Mathematics in indu</w:t>
      </w:r>
      <w:r w:rsidR="001920C4" w:rsidRPr="008B4349">
        <w:t>stry and teachers</w:t>
      </w:r>
      <w:r w:rsidR="002B5404" w:rsidRPr="008B4349">
        <w:t>’</w:t>
      </w:r>
      <w:r w:rsidR="001920C4" w:rsidRPr="008B4349">
        <w:t xml:space="preserve"> training. In A. Araújo</w:t>
      </w:r>
      <w:r w:rsidRPr="008B4349">
        <w:t xml:space="preserve">, </w:t>
      </w:r>
      <w:r w:rsidR="001920C4" w:rsidRPr="008B4349">
        <w:t>A. Fernandez</w:t>
      </w:r>
      <w:r w:rsidRPr="008B4349">
        <w:t xml:space="preserve">, </w:t>
      </w:r>
      <w:r w:rsidR="001920C4" w:rsidRPr="008B4349">
        <w:t>A. Azevedo</w:t>
      </w:r>
      <w:r w:rsidRPr="008B4349">
        <w:t xml:space="preserve">, </w:t>
      </w:r>
      <w:r w:rsidR="001920C4" w:rsidRPr="008B4349">
        <w:t>&amp; J. F. Rodrigues (Eds.),</w:t>
      </w:r>
      <w:r w:rsidRPr="008B4349">
        <w:t xml:space="preserve"> </w:t>
      </w:r>
      <w:r w:rsidRPr="008B4349">
        <w:rPr>
          <w:i/>
        </w:rPr>
        <w:t>EIMI 2010 Conference (educational interfaces between mathematics and industry) Proceedings.</w:t>
      </w:r>
      <w:r w:rsidRPr="008B4349">
        <w:t xml:space="preserve"> Comap Inc., Bedford, MA, USA.</w:t>
      </w:r>
    </w:p>
    <w:p w14:paraId="7D3A6C55" w14:textId="7A5D96EF" w:rsidR="00523677" w:rsidRPr="008B4349" w:rsidRDefault="00523677" w:rsidP="00C5240A">
      <w:pPr>
        <w:pStyle w:val="ICMEReference"/>
      </w:pPr>
      <w:r w:rsidRPr="008B4349">
        <w:t>Hemmi, K. (2008). S</w:t>
      </w:r>
      <w:r w:rsidR="00442F9D" w:rsidRPr="008B4349">
        <w:t>tudents’ encounter with proof: T</w:t>
      </w:r>
      <w:r w:rsidRPr="008B4349">
        <w:t xml:space="preserve">he condition of transparency. </w:t>
      </w:r>
      <w:r w:rsidRPr="008B4349">
        <w:rPr>
          <w:i/>
          <w:color w:val="131313"/>
        </w:rPr>
        <w:t>ZDM – The International Journal on Mathematics Education, 40,</w:t>
      </w:r>
      <w:r w:rsidRPr="008B4349">
        <w:rPr>
          <w:color w:val="131313"/>
        </w:rPr>
        <w:t xml:space="preserve"> 413-426.</w:t>
      </w:r>
    </w:p>
    <w:p w14:paraId="455AF9D5" w14:textId="507D0EFD" w:rsidR="00523677" w:rsidRPr="008B4349" w:rsidRDefault="00523677" w:rsidP="00C5240A">
      <w:pPr>
        <w:pStyle w:val="ICMEReference"/>
      </w:pPr>
      <w:r w:rsidRPr="008B4349">
        <w:t>Henderson, F., Rasmussen, C., Zandieh, M.,</w:t>
      </w:r>
      <w:r w:rsidR="00442F9D" w:rsidRPr="008B4349">
        <w:t xml:space="preserve"> Wawro, M., &amp; Sweeney, G. (2010</w:t>
      </w:r>
      <w:r w:rsidRPr="008B4349">
        <w:t xml:space="preserve">). Symbol </w:t>
      </w:r>
      <w:r w:rsidR="00442F9D" w:rsidRPr="008B4349">
        <w:t>sense in linear algebra</w:t>
      </w:r>
      <w:r w:rsidRPr="008B4349">
        <w:t xml:space="preserve">: A </w:t>
      </w:r>
      <w:r w:rsidR="00442F9D" w:rsidRPr="008B4349">
        <w:t>start toward eigen theory</w:t>
      </w:r>
      <w:r w:rsidRPr="008B4349">
        <w:t xml:space="preserve">. </w:t>
      </w:r>
      <w:r w:rsidRPr="008B4349">
        <w:rPr>
          <w:i/>
        </w:rPr>
        <w:t>Proceedings of the 14</w:t>
      </w:r>
      <w:r w:rsidRPr="008B4349">
        <w:rPr>
          <w:i/>
          <w:vertAlign w:val="superscript"/>
        </w:rPr>
        <w:t>th</w:t>
      </w:r>
      <w:r w:rsidRPr="008B4349">
        <w:rPr>
          <w:i/>
        </w:rPr>
        <w:t xml:space="preserve"> Annual Conference for Research in Undergraduate Mathematics Education</w:t>
      </w:r>
      <w:r w:rsidRPr="008B4349">
        <w:t xml:space="preserve">. Raleigh, N.C. </w:t>
      </w:r>
    </w:p>
    <w:p w14:paraId="4E2F2B15" w14:textId="6E41B6E1" w:rsidR="00523677" w:rsidRPr="008B4349" w:rsidRDefault="00523677" w:rsidP="00C5240A">
      <w:pPr>
        <w:pStyle w:val="ICMEReference"/>
      </w:pPr>
      <w:r w:rsidRPr="008B4349">
        <w:t xml:space="preserve">Hillel, J. (2000). Modes of </w:t>
      </w:r>
      <w:r w:rsidR="002B5404" w:rsidRPr="008B4349">
        <w:t>description and the problem of representation in linear algebra</w:t>
      </w:r>
      <w:r w:rsidRPr="008B4349">
        <w:t xml:space="preserve">. In J.-L. Dorier (Ed.), </w:t>
      </w:r>
      <w:r w:rsidRPr="008B4349">
        <w:rPr>
          <w:i/>
        </w:rPr>
        <w:t>On the Teaching of Linear Algebra</w:t>
      </w:r>
      <w:r w:rsidRPr="008B4349">
        <w:t xml:space="preserve"> (Vol. 23, pp. 191-207). Springer: Netherlands.</w:t>
      </w:r>
    </w:p>
    <w:p w14:paraId="3CF9F0E1" w14:textId="60CBF0CB" w:rsidR="002F3977" w:rsidRPr="008B4349" w:rsidRDefault="005404A8" w:rsidP="00C5240A">
      <w:pPr>
        <w:pStyle w:val="ICMEReference"/>
      </w:pPr>
      <w:r w:rsidRPr="008B4349">
        <w:lastRenderedPageBreak/>
        <w:t>Hockman, M</w:t>
      </w:r>
      <w:r w:rsidR="002F3977" w:rsidRPr="008B4349">
        <w:t xml:space="preserve">. (2005). </w:t>
      </w:r>
      <w:r w:rsidRPr="008B4349">
        <w:t xml:space="preserve">Curriculum design and tertiary education. </w:t>
      </w:r>
      <w:r w:rsidRPr="008B4349">
        <w:rPr>
          <w:i/>
        </w:rPr>
        <w:t>International Journal of Mathematical Educat</w:t>
      </w:r>
      <w:r w:rsidR="00EE553F" w:rsidRPr="008B4349">
        <w:rPr>
          <w:i/>
        </w:rPr>
        <w:t>ion in Science and Technology, 36</w:t>
      </w:r>
      <w:r w:rsidR="00EE553F" w:rsidRPr="008B4349">
        <w:t>(</w:t>
      </w:r>
      <w:r w:rsidRPr="008B4349">
        <w:t>2-3</w:t>
      </w:r>
      <w:r w:rsidR="00EE553F" w:rsidRPr="008B4349">
        <w:t>)</w:t>
      </w:r>
      <w:r w:rsidRPr="008B4349">
        <w:t xml:space="preserve">, 175-191. </w:t>
      </w:r>
    </w:p>
    <w:p w14:paraId="2064F709" w14:textId="5C978A25" w:rsidR="002F1850" w:rsidRPr="008B4349" w:rsidRDefault="002F1850" w:rsidP="00C5240A">
      <w:pPr>
        <w:pStyle w:val="ICMEReference"/>
      </w:pPr>
      <w:r w:rsidRPr="008B4349">
        <w:t xml:space="preserve">Hong, Y., Kerr, S., Klymchuk, S., McHardy, J., Murphy, P., Spencer, S., </w:t>
      </w:r>
      <w:r w:rsidR="00B32DFB" w:rsidRPr="008B4349">
        <w:t>&amp; Thomas, M. O. J.</w:t>
      </w:r>
      <w:r w:rsidRPr="008B4349">
        <w:t xml:space="preserve"> (2009). A comparison of teacher and lecturer perspectives on the transition from secondary to tertiary mathematics education. </w:t>
      </w:r>
      <w:r w:rsidRPr="008B4349">
        <w:rPr>
          <w:i/>
          <w:iCs/>
        </w:rPr>
        <w:t>International Journal of Mathematical Education in Science and Technology</w:t>
      </w:r>
      <w:r w:rsidRPr="008B4349">
        <w:t xml:space="preserve">, </w:t>
      </w:r>
      <w:r w:rsidRPr="008B4349">
        <w:rPr>
          <w:i/>
          <w:iCs/>
        </w:rPr>
        <w:t>40</w:t>
      </w:r>
      <w:r w:rsidRPr="008B4349">
        <w:t>(7), 877-889. doi:10.1080/00207390903223754</w:t>
      </w:r>
    </w:p>
    <w:p w14:paraId="1B1D0CEE" w14:textId="37E85475" w:rsidR="00523677" w:rsidRPr="008B4349" w:rsidRDefault="00523677" w:rsidP="00C5240A">
      <w:pPr>
        <w:pStyle w:val="ICMEReference"/>
      </w:pPr>
      <w:r w:rsidRPr="008B4349">
        <w:t>Hourigan, M., &amp; O’Donoghue, J. (2007). Mathematical under-preparedness: The influence of the pre-tertiary mathematics experience on students’ ability to make a successful transition to tertiary level mathematics courses in Ireland.</w:t>
      </w:r>
      <w:r w:rsidRPr="008B4349">
        <w:rPr>
          <w:i/>
        </w:rPr>
        <w:t xml:space="preserve"> International Journal of Mathematical Education in Science and Technology, 38</w:t>
      </w:r>
      <w:r w:rsidRPr="008B4349">
        <w:t>(4), 461-476</w:t>
      </w:r>
      <w:r w:rsidR="001468A8" w:rsidRPr="008B4349">
        <w:t>.</w:t>
      </w:r>
    </w:p>
    <w:p w14:paraId="1362F64B" w14:textId="77777777" w:rsidR="00E94EF2" w:rsidRPr="008B4349" w:rsidRDefault="00E94EF2" w:rsidP="00C5240A">
      <w:pPr>
        <w:pStyle w:val="ICMEReference"/>
      </w:pPr>
      <w:r w:rsidRPr="008B4349">
        <w:t xml:space="preserve">Hoyles, C., Newman, K. &amp; Noss, R. (2001). Changing patterns of transition from school to university mathematics. </w:t>
      </w:r>
      <w:r w:rsidRPr="008B4349">
        <w:rPr>
          <w:i/>
          <w:iCs/>
        </w:rPr>
        <w:t>International Journal of Mathematical Education in Science and Technology</w:t>
      </w:r>
      <w:r w:rsidRPr="008B4349">
        <w:t xml:space="preserve">, </w:t>
      </w:r>
      <w:r w:rsidRPr="008B4349">
        <w:rPr>
          <w:i/>
          <w:iCs/>
        </w:rPr>
        <w:t>32</w:t>
      </w:r>
      <w:r w:rsidRPr="008B4349">
        <w:t>(6), 829-845. doi:10.1080/00207390110067635</w:t>
      </w:r>
    </w:p>
    <w:p w14:paraId="1AA7A80C" w14:textId="568F4E0C" w:rsidR="00523677" w:rsidRPr="008B4349" w:rsidRDefault="00523677" w:rsidP="00C5240A">
      <w:pPr>
        <w:pStyle w:val="ICMEReference"/>
        <w:rPr>
          <w:i/>
        </w:rPr>
      </w:pPr>
      <w:r w:rsidRPr="008B4349">
        <w:t xml:space="preserve">Iannone, P.  &amp; Inglis, M. (2011). Undergraduate students’ use of deductive arguments to solve “prove that…” tasks. In M. Pytlak, T. Rowland, &amp; E. Swoboda (Eds.), </w:t>
      </w:r>
      <w:r w:rsidRPr="008B4349">
        <w:rPr>
          <w:i/>
        </w:rPr>
        <w:t>Proceedings of the 7th Conference of European Researchers in Mathematics Education</w:t>
      </w:r>
      <w:r w:rsidRPr="008B4349">
        <w:t xml:space="preserve"> (pp. 2012-2021). Rzeszow, Poland.</w:t>
      </w:r>
    </w:p>
    <w:p w14:paraId="2CE694F3" w14:textId="77777777" w:rsidR="00523677" w:rsidRPr="008B4349" w:rsidRDefault="00523677" w:rsidP="00C5240A">
      <w:pPr>
        <w:pStyle w:val="ICMEReference"/>
      </w:pPr>
      <w:r w:rsidRPr="008B4349">
        <w:t xml:space="preserve">Iannone, P., &amp; Nardi, E. (2002). A group as a ‘special set’? Implications of ignoring the role of the binary operation in the definition of a group. In A. D. Cockburn &amp; E. Nardi (Eds.), </w:t>
      </w:r>
      <w:r w:rsidRPr="008B4349">
        <w:rPr>
          <w:i/>
          <w:iCs/>
        </w:rPr>
        <w:t>Proceedings of the 26th Conference of the International Group for the Psychology of Mathematics Education</w:t>
      </w:r>
      <w:r w:rsidRPr="008B4349">
        <w:t xml:space="preserve"> (Vol. 3, pp. 121-128). Norwich, UK.</w:t>
      </w:r>
    </w:p>
    <w:p w14:paraId="31EA94C4" w14:textId="77777777" w:rsidR="00523677" w:rsidRPr="008B4349" w:rsidRDefault="00523677" w:rsidP="00C5240A">
      <w:pPr>
        <w:pStyle w:val="ICMEReference"/>
      </w:pPr>
      <w:r w:rsidRPr="008B4349">
        <w:t xml:space="preserve">Inglis, M., Mejia-Ramos, J. P., &amp; Simpson, A. (2007). Modelling mathematical argumentation: The importance of qualification. </w:t>
      </w:r>
      <w:r w:rsidRPr="008B4349">
        <w:rPr>
          <w:i/>
        </w:rPr>
        <w:t>Educational Studies in Mathematics, 66</w:t>
      </w:r>
      <w:r w:rsidRPr="008B4349">
        <w:t>, 3–21.</w:t>
      </w:r>
    </w:p>
    <w:p w14:paraId="06E387FD" w14:textId="77777777" w:rsidR="00523677" w:rsidRPr="008B4349" w:rsidRDefault="00523677" w:rsidP="00C5240A">
      <w:pPr>
        <w:pStyle w:val="ICMEReference"/>
      </w:pPr>
      <w:r w:rsidRPr="008B4349">
        <w:t xml:space="preserve">Ioannou, M. &amp; Iannone, P. (2011). </w:t>
      </w:r>
      <w:hyperlink r:id="rId18" w:tgtFrame="" w:tooltip="Click to view this record" w:history="1">
        <w:r w:rsidRPr="008B4349">
          <w:t>Students' affective responses to the inability to visualise cosets</w:t>
        </w:r>
      </w:hyperlink>
      <w:r w:rsidRPr="008B4349">
        <w:t xml:space="preserve">. </w:t>
      </w:r>
      <w:r w:rsidRPr="008B4349">
        <w:rPr>
          <w:i/>
        </w:rPr>
        <w:t>Research in Mathematics Education 13</w:t>
      </w:r>
      <w:r w:rsidRPr="008B4349">
        <w:t>(1), 81-82.</w:t>
      </w:r>
    </w:p>
    <w:p w14:paraId="61E49ABF" w14:textId="77777777" w:rsidR="00523677" w:rsidRPr="008B4349" w:rsidRDefault="00523677" w:rsidP="00C5240A">
      <w:pPr>
        <w:pStyle w:val="ICMEReference"/>
      </w:pPr>
      <w:r w:rsidRPr="008B4349">
        <w:t xml:space="preserve">Ioannou, M., &amp; Nardi, E. (2009). Engagement, abstraction and visualisation: Cognitive and emotional aspects of Year 2 mathematics undergraduates’ learning experience in Abstract Algebra. </w:t>
      </w:r>
      <w:r w:rsidRPr="008B4349">
        <w:rPr>
          <w:i/>
          <w:iCs/>
        </w:rPr>
        <w:t>Proceedings of the British Society for Research into Learning Mathematics, 29</w:t>
      </w:r>
      <w:r w:rsidRPr="008B4349">
        <w:t>(2), 35-40.</w:t>
      </w:r>
    </w:p>
    <w:p w14:paraId="1A11872D" w14:textId="77777777" w:rsidR="00523677" w:rsidRPr="008B4349" w:rsidRDefault="00523677" w:rsidP="00C5240A">
      <w:pPr>
        <w:pStyle w:val="ICMEReference"/>
      </w:pPr>
      <w:r w:rsidRPr="008B4349">
        <w:t xml:space="preserve">Ioannou, M., &amp; Nardi, E. (2009). Visualisation as a meaning-bestowing process  in the learning and teaching of Abstract Algebra. In M. Tzekaki, M. Kaldrimidou &amp; C. Sakonidis (Eds.), </w:t>
      </w:r>
      <w:r w:rsidRPr="008B4349">
        <w:rPr>
          <w:i/>
          <w:iCs/>
        </w:rPr>
        <w:t>Proceedings of the 33rd Conference of the International Group for the Psychology of Mathematics Education (PME)</w:t>
      </w:r>
      <w:r w:rsidRPr="008B4349">
        <w:t xml:space="preserve"> (Vol. 1, pp. 297). Thessaloniki, Greece: PME.</w:t>
      </w:r>
    </w:p>
    <w:p w14:paraId="2D7B9181" w14:textId="3A02E5F9" w:rsidR="00523677" w:rsidRPr="008B4349" w:rsidRDefault="00523677" w:rsidP="00C5240A">
      <w:pPr>
        <w:pStyle w:val="ICMEReference"/>
      </w:pPr>
      <w:r w:rsidRPr="008B4349">
        <w:t xml:space="preserve">Ioannou, M., &amp; Nardi, E. (2010). Mathematics undergraduates’ experience of visualisation in Abstract Algebra: The metacognitive need for an explicit demonstration of its significance. In </w:t>
      </w:r>
      <w:r w:rsidRPr="008B4349">
        <w:rPr>
          <w:i/>
        </w:rPr>
        <w:t>Proceedings of the 13th Special Interest Group of the Mathematical Association of America (SIGMAA) Conference on Research in Undergraduate Mathematics Education</w:t>
      </w:r>
      <w:r w:rsidR="001468A8" w:rsidRPr="008B4349">
        <w:rPr>
          <w:i/>
        </w:rPr>
        <w:t xml:space="preserve"> (RUME</w:t>
      </w:r>
      <w:r w:rsidR="00F67874">
        <w:t>). Available at</w:t>
      </w:r>
      <w:r w:rsidR="001468A8" w:rsidRPr="008B4349">
        <w:t>:</w:t>
      </w:r>
      <w:r w:rsidR="00F67874">
        <w:t xml:space="preserve"> </w:t>
      </w:r>
      <w:hyperlink r:id="rId19" w:history="1">
        <w:r w:rsidR="00F67874" w:rsidRPr="009B6932">
          <w:rPr>
            <w:rStyle w:val="Hyperlink"/>
          </w:rPr>
          <w:t>http://sigmaa.maa.org/rume/crume2010/Archive/Ioannou%20&amp;%20Nardi.pdf</w:t>
        </w:r>
      </w:hyperlink>
    </w:p>
    <w:p w14:paraId="19C3F172" w14:textId="15CA16A3" w:rsidR="001F7E60" w:rsidRPr="008B4349" w:rsidRDefault="001F7E60" w:rsidP="00C5240A">
      <w:pPr>
        <w:pStyle w:val="ICMEReference"/>
      </w:pPr>
      <w:r w:rsidRPr="008B4349">
        <w:t>James, A., Montelle, C.</w:t>
      </w:r>
      <w:r w:rsidR="00DC0E37" w:rsidRPr="008B4349">
        <w:t>,</w:t>
      </w:r>
      <w:r w:rsidRPr="008B4349">
        <w:t xml:space="preserve"> &amp; Williams, P. (2008). From lessons to lectures: NCEA mathematics results and first-year mathematics performance. </w:t>
      </w:r>
      <w:r w:rsidRPr="008B4349">
        <w:rPr>
          <w:i/>
          <w:iCs/>
        </w:rPr>
        <w:t>International Journal of Mathematical Education in Science and Technology</w:t>
      </w:r>
      <w:r w:rsidRPr="008B4349">
        <w:t xml:space="preserve">, </w:t>
      </w:r>
      <w:r w:rsidRPr="008B4349">
        <w:rPr>
          <w:i/>
          <w:iCs/>
        </w:rPr>
        <w:t>39</w:t>
      </w:r>
      <w:r w:rsidRPr="008B4349">
        <w:t>(8), 1037-1050. doi:10.1080/00207390802136552</w:t>
      </w:r>
    </w:p>
    <w:p w14:paraId="5B487F5D" w14:textId="77777777" w:rsidR="00523677" w:rsidRPr="008B4349" w:rsidRDefault="00523677" w:rsidP="00C5240A">
      <w:pPr>
        <w:pStyle w:val="ICMEReference"/>
        <w:rPr>
          <w:lang w:bidi="en-US"/>
        </w:rPr>
      </w:pPr>
      <w:r w:rsidRPr="008B4349">
        <w:rPr>
          <w:rFonts w:eastAsia="Calibri"/>
          <w:lang w:val="en-NZ"/>
        </w:rPr>
        <w:t xml:space="preserve">Jennings, M. (2009). </w:t>
      </w:r>
      <w:r w:rsidRPr="008B4349">
        <w:rPr>
          <w:lang w:bidi="en-US"/>
        </w:rPr>
        <w:t xml:space="preserve">Issues in bridging between senior secondary and first year university mathematics. In R. Hunter, B. Bicknell, &amp; T. Burgess (Eds.), </w:t>
      </w:r>
      <w:r w:rsidRPr="008B4349">
        <w:rPr>
          <w:i/>
          <w:iCs/>
          <w:lang w:bidi="en-US"/>
        </w:rPr>
        <w:t>Crossing divide</w:t>
      </w:r>
      <w:r w:rsidRPr="008B4349">
        <w:rPr>
          <w:lang w:bidi="en-US"/>
        </w:rPr>
        <w:t>s</w:t>
      </w:r>
      <w:r w:rsidRPr="008B4349">
        <w:rPr>
          <w:i/>
          <w:iCs/>
          <w:lang w:bidi="en-US"/>
        </w:rPr>
        <w:t xml:space="preserve"> </w:t>
      </w:r>
      <w:r w:rsidRPr="008B4349">
        <w:rPr>
          <w:iCs/>
          <w:lang w:bidi="en-US"/>
        </w:rPr>
        <w:t>(Proceedings of the 32</w:t>
      </w:r>
      <w:r w:rsidRPr="008B4349">
        <w:rPr>
          <w:iCs/>
          <w:vertAlign w:val="superscript"/>
          <w:lang w:bidi="en-US"/>
        </w:rPr>
        <w:t>nd</w:t>
      </w:r>
      <w:r w:rsidRPr="008B4349">
        <w:rPr>
          <w:iCs/>
          <w:lang w:bidi="en-US"/>
        </w:rPr>
        <w:t xml:space="preserve"> annual conference of the Mathematics Education Research Group of Australasia,</w:t>
      </w:r>
      <w:r w:rsidRPr="008B4349">
        <w:rPr>
          <w:i/>
          <w:iCs/>
          <w:lang w:bidi="en-US"/>
        </w:rPr>
        <w:t xml:space="preserve"> </w:t>
      </w:r>
      <w:r w:rsidRPr="008B4349">
        <w:rPr>
          <w:lang w:bidi="en-US"/>
        </w:rPr>
        <w:t>Vol. 1, pp. 273-280). Palmerston North, NZ: MERGA.</w:t>
      </w:r>
    </w:p>
    <w:p w14:paraId="51A2C47A" w14:textId="77777777" w:rsidR="005010DE" w:rsidRPr="008B4349" w:rsidRDefault="005010DE" w:rsidP="00C5240A">
      <w:pPr>
        <w:pStyle w:val="ICMEReference"/>
      </w:pPr>
      <w:r w:rsidRPr="008B4349">
        <w:lastRenderedPageBreak/>
        <w:t xml:space="preserve">Junior, O. (2006). Compreensões de conceitos de cálculo diferencial no primeiro ano de matemática  uma abordagem integrando oralidade, escrita e informática. Unpublished PhD Thesis, Universidade Estadual Paulista, Rio Claro, Brazil. </w:t>
      </w:r>
    </w:p>
    <w:p w14:paraId="074AFBC3" w14:textId="1D888A99" w:rsidR="00523677" w:rsidRPr="008B4349" w:rsidRDefault="00523677" w:rsidP="00C5240A">
      <w:pPr>
        <w:pStyle w:val="ICMEReference"/>
      </w:pPr>
      <w:r w:rsidRPr="008B4349">
        <w:t>Kaiser</w:t>
      </w:r>
      <w:r w:rsidR="001468A8" w:rsidRPr="008B4349">
        <w:t>,</w:t>
      </w:r>
      <w:r w:rsidRPr="008B4349">
        <w:t xml:space="preserve"> G., </w:t>
      </w:r>
      <w:r w:rsidR="001468A8" w:rsidRPr="008B4349">
        <w:t xml:space="preserve">&amp; </w:t>
      </w:r>
      <w:r w:rsidRPr="008B4349">
        <w:t>Schwarz</w:t>
      </w:r>
      <w:r w:rsidR="001468A8" w:rsidRPr="008B4349">
        <w:t>,</w:t>
      </w:r>
      <w:r w:rsidRPr="008B4349">
        <w:t xml:space="preserve"> B. (2006). Mathematical modelling as bridge between school and university. </w:t>
      </w:r>
      <w:r w:rsidRPr="008B4349">
        <w:rPr>
          <w:i/>
        </w:rPr>
        <w:t>ZDM</w:t>
      </w:r>
      <w:r w:rsidR="001468A8" w:rsidRPr="008B4349">
        <w:t xml:space="preserve">, </w:t>
      </w:r>
      <w:r w:rsidR="001468A8" w:rsidRPr="008B4349">
        <w:rPr>
          <w:i/>
        </w:rPr>
        <w:t>38</w:t>
      </w:r>
      <w:r w:rsidRPr="008B4349">
        <w:t>(2), 196-208.</w:t>
      </w:r>
    </w:p>
    <w:p w14:paraId="0F4A046B" w14:textId="77777777" w:rsidR="00523677" w:rsidRPr="008B4349" w:rsidRDefault="00523677" w:rsidP="00C5240A">
      <w:pPr>
        <w:pStyle w:val="ICMEReference"/>
      </w:pPr>
      <w:r w:rsidRPr="008B4349">
        <w:t xml:space="preserve">Kajander, A., &amp; Lovric, M. (2005). Transition from secondary to tertiary mathematics: McMaster University Experience. </w:t>
      </w:r>
      <w:r w:rsidRPr="008B4349">
        <w:rPr>
          <w:i/>
        </w:rPr>
        <w:t>International Journal of Mathematical Education in Science and Technology, 36</w:t>
      </w:r>
      <w:r w:rsidRPr="008B4349">
        <w:t>(2-3), 149-160</w:t>
      </w:r>
    </w:p>
    <w:p w14:paraId="259823B0" w14:textId="0B0AEED2" w:rsidR="00523677" w:rsidRPr="008B4349" w:rsidRDefault="00523677" w:rsidP="00C5240A">
      <w:pPr>
        <w:pStyle w:val="ICMEReference"/>
        <w:rPr>
          <w:lang w:eastAsia="zh-CN"/>
        </w:rPr>
      </w:pPr>
      <w:r w:rsidRPr="008B4349">
        <w:t>Kaland</w:t>
      </w:r>
      <w:r w:rsidR="002B5404" w:rsidRPr="008B4349">
        <w:t>,</w:t>
      </w:r>
      <w:r w:rsidRPr="008B4349">
        <w:t xml:space="preserve"> K., Kaiser</w:t>
      </w:r>
      <w:r w:rsidR="002B5404" w:rsidRPr="008B4349">
        <w:t>,</w:t>
      </w:r>
      <w:r w:rsidRPr="008B4349">
        <w:t xml:space="preserve"> K., Ortlieb</w:t>
      </w:r>
      <w:r w:rsidR="002B5404" w:rsidRPr="008B4349">
        <w:t>,</w:t>
      </w:r>
      <w:r w:rsidRPr="008B4349">
        <w:t xml:space="preserve"> C.</w:t>
      </w:r>
      <w:r w:rsidR="002B5404" w:rsidRPr="008B4349">
        <w:t xml:space="preserve"> </w:t>
      </w:r>
      <w:r w:rsidRPr="008B4349">
        <w:t xml:space="preserve">P., </w:t>
      </w:r>
      <w:r w:rsidR="002B5404" w:rsidRPr="008B4349">
        <w:t xml:space="preserve">&amp; </w:t>
      </w:r>
      <w:r w:rsidRPr="008B4349">
        <w:t>Struckmeier</w:t>
      </w:r>
      <w:r w:rsidR="002B5404" w:rsidRPr="008B4349">
        <w:t>,</w:t>
      </w:r>
      <w:r w:rsidRPr="008B4349">
        <w:t xml:space="preserve"> J. (2010). Authentic </w:t>
      </w:r>
      <w:r w:rsidR="002B5404" w:rsidRPr="008B4349">
        <w:t>modelling problems in mathematics education</w:t>
      </w:r>
      <w:r w:rsidRPr="008B4349">
        <w:t xml:space="preserve">. In </w:t>
      </w:r>
      <w:r w:rsidR="002B5404" w:rsidRPr="008B4349">
        <w:t xml:space="preserve">A. </w:t>
      </w:r>
      <w:r w:rsidRPr="008B4349">
        <w:t>Araújo</w:t>
      </w:r>
      <w:r w:rsidR="002B5404" w:rsidRPr="008B4349">
        <w:t>,</w:t>
      </w:r>
      <w:r w:rsidRPr="008B4349">
        <w:t xml:space="preserve"> A. Fernandes</w:t>
      </w:r>
      <w:r w:rsidR="002B5404" w:rsidRPr="008B4349">
        <w:t>,</w:t>
      </w:r>
      <w:r w:rsidRPr="008B4349">
        <w:t xml:space="preserve"> A. Azevedo</w:t>
      </w:r>
      <w:r w:rsidR="002B5404" w:rsidRPr="008B4349">
        <w:t>,</w:t>
      </w:r>
      <w:r w:rsidRPr="008B4349">
        <w:t xml:space="preserve"> </w:t>
      </w:r>
      <w:r w:rsidR="002B5404" w:rsidRPr="008B4349">
        <w:t xml:space="preserve">&amp; J. F. </w:t>
      </w:r>
      <w:r w:rsidRPr="008B4349">
        <w:t xml:space="preserve"> Rodrigues (Eds.). </w:t>
      </w:r>
      <w:r w:rsidRPr="008B4349">
        <w:rPr>
          <w:i/>
        </w:rPr>
        <w:t>EIMI 2010 Conference (educational interfaces between mathematics and industry) Proceedings.</w:t>
      </w:r>
      <w:r w:rsidRPr="008B4349">
        <w:t xml:space="preserve"> Comap Inc., Bedford, MA, USA.</w:t>
      </w:r>
    </w:p>
    <w:p w14:paraId="589DCDDC" w14:textId="109F2ECA" w:rsidR="00523677" w:rsidRPr="008B4349" w:rsidRDefault="00523677" w:rsidP="00C5240A">
      <w:pPr>
        <w:pStyle w:val="ICMEReference"/>
      </w:pPr>
      <w:r w:rsidRPr="008B4349">
        <w:t>Kelly, A. E., Lesh, R., &amp; Baek, J. (Eds.) (2008)</w:t>
      </w:r>
      <w:r w:rsidR="001468A8" w:rsidRPr="008B4349">
        <w:t>.</w:t>
      </w:r>
      <w:r w:rsidRPr="008B4349">
        <w:t xml:space="preserve"> Handbook of design research methods in education: Innovations in science, technology, engineering, and mathematics learning and teaching. New York, NY: Routledge.</w:t>
      </w:r>
    </w:p>
    <w:p w14:paraId="204533DE" w14:textId="70EC8EB3" w:rsidR="00C74419" w:rsidRPr="00C74419" w:rsidRDefault="00C74419" w:rsidP="00C5240A">
      <w:pPr>
        <w:pStyle w:val="ICMEReference"/>
      </w:pPr>
      <w:r w:rsidRPr="00C74419">
        <w:t xml:space="preserve">Kondratieva, M. (2011). </w:t>
      </w:r>
      <w:r w:rsidRPr="00C74419">
        <w:rPr>
          <w:color w:val="auto"/>
        </w:rPr>
        <w:t xml:space="preserve">Designing interconnecting problems that support development of concepts and reasoning. </w:t>
      </w:r>
      <w:r w:rsidRPr="00C74419">
        <w:t xml:space="preserve">In M. Pytlak, T. Rowland, &amp; E. Swoboda (Eds.), </w:t>
      </w:r>
      <w:r w:rsidRPr="00C74419">
        <w:rPr>
          <w:i/>
        </w:rPr>
        <w:t>Proceedings of the 7th Conference of European Researchers in Mathematics Education</w:t>
      </w:r>
      <w:r w:rsidRPr="00C74419">
        <w:t xml:space="preserve"> (pp. 273-282). Rzeszow, Poland. </w:t>
      </w:r>
    </w:p>
    <w:p w14:paraId="4FE5C312" w14:textId="64CAD9F3" w:rsidR="00523677" w:rsidRPr="008B4349" w:rsidRDefault="001468A8" w:rsidP="00C5240A">
      <w:pPr>
        <w:pStyle w:val="ICMEReference"/>
      </w:pPr>
      <w:r w:rsidRPr="008B4349">
        <w:t xml:space="preserve">Larsen, S. (2009). </w:t>
      </w:r>
      <w:r w:rsidR="00523677" w:rsidRPr="008B4349">
        <w:t>Reinventing the conc</w:t>
      </w:r>
      <w:r w:rsidRPr="008B4349">
        <w:t xml:space="preserve">epts of group and isomorphism: The case of Jessica and Sandra. </w:t>
      </w:r>
      <w:r w:rsidR="00523677" w:rsidRPr="008B4349">
        <w:rPr>
          <w:i/>
        </w:rPr>
        <w:t>Journal of Mathematical Behavior</w:t>
      </w:r>
      <w:r w:rsidRPr="008B4349">
        <w:rPr>
          <w:i/>
        </w:rPr>
        <w:t>,</w:t>
      </w:r>
      <w:r w:rsidR="00523677" w:rsidRPr="008B4349">
        <w:rPr>
          <w:i/>
        </w:rPr>
        <w:t xml:space="preserve"> </w:t>
      </w:r>
      <w:r w:rsidR="00523677" w:rsidRPr="008B4349">
        <w:rPr>
          <w:bCs/>
          <w:i/>
        </w:rPr>
        <w:t>28</w:t>
      </w:r>
      <w:r w:rsidRPr="008B4349">
        <w:t xml:space="preserve">, </w:t>
      </w:r>
      <w:r w:rsidR="00523677" w:rsidRPr="008B4349">
        <w:t>119-137.</w:t>
      </w:r>
    </w:p>
    <w:p w14:paraId="18BDE837" w14:textId="77777777" w:rsidR="00523677" w:rsidRPr="008B4349" w:rsidRDefault="00523677" w:rsidP="00C5240A">
      <w:pPr>
        <w:pStyle w:val="ICMEReference"/>
      </w:pPr>
      <w:r w:rsidRPr="008B4349">
        <w:t xml:space="preserve">Larson, C., Zandieh, M., &amp; Rasmussen, C. (2008). A trip through eigen-land: Where most roads lead to the direction associated with the largest eigenvalue. </w:t>
      </w:r>
      <w:r w:rsidRPr="008B4349">
        <w:rPr>
          <w:i/>
        </w:rPr>
        <w:t>Proceedings of the 11</w:t>
      </w:r>
      <w:r w:rsidRPr="008B4349">
        <w:rPr>
          <w:i/>
          <w:vertAlign w:val="superscript"/>
        </w:rPr>
        <w:t>th</w:t>
      </w:r>
      <w:r w:rsidRPr="008B4349">
        <w:rPr>
          <w:i/>
        </w:rPr>
        <w:t xml:space="preserve"> Annual Conference for Research in Undergraduate Mathematics Education</w:t>
      </w:r>
      <w:r w:rsidRPr="008B4349">
        <w:t>. San Diego, CA.</w:t>
      </w:r>
    </w:p>
    <w:p w14:paraId="488236D5" w14:textId="2770B6B0" w:rsidR="00523677" w:rsidRPr="008B4349" w:rsidRDefault="00523677" w:rsidP="00C5240A">
      <w:pPr>
        <w:pStyle w:val="ICMEReference"/>
        <w:rPr>
          <w:bCs/>
          <w:color w:val="131313"/>
          <w:lang w:eastAsia="zh-CN"/>
        </w:rPr>
      </w:pPr>
      <w:r w:rsidRPr="008B4349">
        <w:t>Leavitt</w:t>
      </w:r>
      <w:r w:rsidR="004D4851" w:rsidRPr="008B4349">
        <w:t>,</w:t>
      </w:r>
      <w:r w:rsidRPr="008B4349">
        <w:t xml:space="preserve"> D.</w:t>
      </w:r>
      <w:r w:rsidR="004D4851" w:rsidRPr="008B4349">
        <w:t xml:space="preserve"> </w:t>
      </w:r>
      <w:r w:rsidRPr="008B4349">
        <w:t xml:space="preserve">R., </w:t>
      </w:r>
      <w:r w:rsidR="002B5404" w:rsidRPr="008B4349">
        <w:t xml:space="preserve">&amp; </w:t>
      </w:r>
      <w:r w:rsidRPr="008B4349">
        <w:t>Ahn</w:t>
      </w:r>
      <w:r w:rsidR="004D4851" w:rsidRPr="008B4349">
        <w:t xml:space="preserve">, C. M. (2010). </w:t>
      </w:r>
      <w:r w:rsidRPr="008B4349">
        <w:t xml:space="preserve">A </w:t>
      </w:r>
      <w:r w:rsidR="004D4851" w:rsidRPr="008B4349">
        <w:t>middle grade teacher’s guide to model eliciting activities. In R. Lesh</w:t>
      </w:r>
      <w:r w:rsidRPr="008B4349">
        <w:t xml:space="preserve">, </w:t>
      </w:r>
      <w:r w:rsidR="004D4851" w:rsidRPr="008B4349">
        <w:t>P. L. Galbraith</w:t>
      </w:r>
      <w:r w:rsidRPr="008B4349">
        <w:t xml:space="preserve">, </w:t>
      </w:r>
      <w:r w:rsidR="004D4851" w:rsidRPr="008B4349">
        <w:t>C. R. Haines</w:t>
      </w:r>
      <w:r w:rsidRPr="008B4349">
        <w:t xml:space="preserve">, </w:t>
      </w:r>
      <w:r w:rsidR="004D4851" w:rsidRPr="008B4349">
        <w:t>&amp; A. Hurford</w:t>
      </w:r>
      <w:r w:rsidRPr="008B4349">
        <w:t xml:space="preserve"> </w:t>
      </w:r>
      <w:r w:rsidRPr="008B4349">
        <w:rPr>
          <w:lang w:eastAsia="zh-CN"/>
        </w:rPr>
        <w:t>(E</w:t>
      </w:r>
      <w:r w:rsidRPr="008B4349">
        <w:t>ds</w:t>
      </w:r>
      <w:r w:rsidR="004D4851" w:rsidRPr="008B4349">
        <w:rPr>
          <w:lang w:eastAsia="zh-CN"/>
        </w:rPr>
        <w:t>.),</w:t>
      </w:r>
      <w:r w:rsidRPr="008B4349">
        <w:t xml:space="preserve"> </w:t>
      </w:r>
      <w:r w:rsidRPr="008B4349">
        <w:rPr>
          <w:i/>
        </w:rPr>
        <w:t xml:space="preserve">Modeling </w:t>
      </w:r>
      <w:r w:rsidR="004D4851" w:rsidRPr="008B4349">
        <w:rPr>
          <w:i/>
        </w:rPr>
        <w:t>students' mathematical modeling competencies</w:t>
      </w:r>
      <w:r w:rsidRPr="008B4349">
        <w:rPr>
          <w:i/>
        </w:rPr>
        <w:t>: ICTMA13</w:t>
      </w:r>
      <w:r w:rsidRPr="008B4349">
        <w:t>,</w:t>
      </w:r>
      <w:r w:rsidRPr="008B4349">
        <w:rPr>
          <w:lang w:eastAsia="zh-CN"/>
        </w:rPr>
        <w:t xml:space="preserve"> </w:t>
      </w:r>
      <w:r w:rsidRPr="008B4349">
        <w:t>New York</w:t>
      </w:r>
      <w:r w:rsidRPr="008B4349">
        <w:rPr>
          <w:lang w:eastAsia="zh-CN"/>
        </w:rPr>
        <w:t>:</w:t>
      </w:r>
      <w:r w:rsidRPr="008B4349">
        <w:t xml:space="preserve"> Springer.</w:t>
      </w:r>
    </w:p>
    <w:p w14:paraId="30E5D861" w14:textId="77777777" w:rsidR="00523677" w:rsidRPr="008B4349" w:rsidRDefault="00523677" w:rsidP="00C5240A">
      <w:pPr>
        <w:pStyle w:val="ICMEReference"/>
      </w:pPr>
      <w:r w:rsidRPr="008B4349">
        <w:t xml:space="preserve">Lesh, R., &amp; Doerr, H. M. (2003). Foundations of a models and modeling perspective on mathematics teaching, learning, and problem solving. In R. Lesh &amp; H. Doerr (Eds.), </w:t>
      </w:r>
      <w:r w:rsidRPr="008B4349">
        <w:rPr>
          <w:i/>
          <w:iCs/>
        </w:rPr>
        <w:t>Beyond Constructivism: Models and modeling perspectives on mathematics problem solving, teaching, and learning</w:t>
      </w:r>
      <w:r w:rsidRPr="008B4349">
        <w:t xml:space="preserve"> (pp. 3-33). Mahwah, NJ: Lawrence Erlbaum Associates.</w:t>
      </w:r>
    </w:p>
    <w:p w14:paraId="7CAACC77" w14:textId="2179B352" w:rsidR="00523677" w:rsidRPr="008B4349" w:rsidRDefault="00523677" w:rsidP="00C5240A">
      <w:pPr>
        <w:pStyle w:val="ICMEReference"/>
      </w:pPr>
      <w:r w:rsidRPr="008B4349">
        <w:t>Leviatan</w:t>
      </w:r>
      <w:r w:rsidR="002B5404" w:rsidRPr="008B4349">
        <w:t>,</w:t>
      </w:r>
      <w:r w:rsidRPr="008B4349">
        <w:t xml:space="preserve"> T. (2008). Bridging a cultural gap. </w:t>
      </w:r>
      <w:r w:rsidRPr="008B4349">
        <w:rPr>
          <w:i/>
        </w:rPr>
        <w:t>Mathematics Education Research Journal</w:t>
      </w:r>
      <w:r w:rsidRPr="008B4349">
        <w:t xml:space="preserve">, </w:t>
      </w:r>
      <w:r w:rsidR="00525727" w:rsidRPr="008B4349">
        <w:rPr>
          <w:i/>
        </w:rPr>
        <w:t>20</w:t>
      </w:r>
      <w:r w:rsidR="00525727" w:rsidRPr="008B4349">
        <w:t>(</w:t>
      </w:r>
      <w:r w:rsidRPr="008B4349">
        <w:t>2</w:t>
      </w:r>
      <w:r w:rsidR="00525727" w:rsidRPr="008B4349">
        <w:t>)</w:t>
      </w:r>
      <w:r w:rsidRPr="008B4349">
        <w:t xml:space="preserve">, 105-116. </w:t>
      </w:r>
    </w:p>
    <w:p w14:paraId="3F72D928" w14:textId="77777777" w:rsidR="00523677" w:rsidRPr="008B4349" w:rsidRDefault="00523677" w:rsidP="00C5240A">
      <w:pPr>
        <w:pStyle w:val="ICMEReference"/>
      </w:pPr>
      <w:r w:rsidRPr="008B4349">
        <w:t xml:space="preserve">Luk, H. S. (2005). The gap between secondary school and university mathematics. </w:t>
      </w:r>
      <w:r w:rsidRPr="008B4349">
        <w:rPr>
          <w:i/>
        </w:rPr>
        <w:t>International Journal of Mathematical Education in Science and Technology, 36</w:t>
      </w:r>
      <w:r w:rsidRPr="008B4349">
        <w:t>(2-3), 161-174.</w:t>
      </w:r>
    </w:p>
    <w:p w14:paraId="3401AAF9" w14:textId="2324DC9A" w:rsidR="00523677" w:rsidRPr="008B4349" w:rsidRDefault="00523677" w:rsidP="00C5240A">
      <w:pPr>
        <w:pStyle w:val="ICMEReference"/>
      </w:pPr>
      <w:r w:rsidRPr="008B4349">
        <w:t>Maaß</w:t>
      </w:r>
      <w:r w:rsidR="002B5404" w:rsidRPr="008B4349">
        <w:t>,</w:t>
      </w:r>
      <w:r w:rsidRPr="008B4349">
        <w:t xml:space="preserve"> K. (2010). Classification </w:t>
      </w:r>
      <w:r w:rsidR="00525727" w:rsidRPr="008B4349">
        <w:t>scheme for modelling tasks</w:t>
      </w:r>
      <w:r w:rsidRPr="008B4349">
        <w:t xml:space="preserve">. </w:t>
      </w:r>
      <w:r w:rsidRPr="008B4349">
        <w:rPr>
          <w:i/>
        </w:rPr>
        <w:t xml:space="preserve">J. Math Didakt  </w:t>
      </w:r>
      <w:r w:rsidR="00525727" w:rsidRPr="008B4349">
        <w:rPr>
          <w:i/>
        </w:rPr>
        <w:t>31</w:t>
      </w:r>
      <w:r w:rsidR="00525727" w:rsidRPr="008B4349">
        <w:t xml:space="preserve">, </w:t>
      </w:r>
      <w:r w:rsidRPr="008B4349">
        <w:t xml:space="preserve">285–311. </w:t>
      </w:r>
    </w:p>
    <w:p w14:paraId="3F08EB53" w14:textId="20AE7BB1" w:rsidR="00523677" w:rsidRPr="008B4349" w:rsidRDefault="00523677" w:rsidP="00C5240A">
      <w:pPr>
        <w:pStyle w:val="ICMEReference"/>
      </w:pPr>
      <w:r w:rsidRPr="008B4349">
        <w:t>Maaß</w:t>
      </w:r>
      <w:r w:rsidR="002B5404" w:rsidRPr="008B4349">
        <w:t>,</w:t>
      </w:r>
      <w:r w:rsidRPr="008B4349">
        <w:t xml:space="preserve"> K., </w:t>
      </w:r>
      <w:r w:rsidR="00525727" w:rsidRPr="008B4349">
        <w:t xml:space="preserve">&amp; </w:t>
      </w:r>
      <w:r w:rsidRPr="008B4349">
        <w:t>Mischo</w:t>
      </w:r>
      <w:r w:rsidR="002B5404" w:rsidRPr="008B4349">
        <w:t>,</w:t>
      </w:r>
      <w:r w:rsidRPr="008B4349">
        <w:t xml:space="preserve"> C. (2011). Implementing </w:t>
      </w:r>
      <w:r w:rsidR="00525727" w:rsidRPr="008B4349">
        <w:t>modelling into day-to-day teaching practice – The project STRATUM and its f</w:t>
      </w:r>
      <w:r w:rsidRPr="008B4349">
        <w:t xml:space="preserve">ramework. </w:t>
      </w:r>
      <w:r w:rsidRPr="008B4349">
        <w:rPr>
          <w:i/>
        </w:rPr>
        <w:t xml:space="preserve">J Math Didakt </w:t>
      </w:r>
      <w:r w:rsidR="00525727" w:rsidRPr="008B4349">
        <w:rPr>
          <w:i/>
        </w:rPr>
        <w:t>32</w:t>
      </w:r>
      <w:r w:rsidR="00525727" w:rsidRPr="008B4349">
        <w:t>,</w:t>
      </w:r>
      <w:r w:rsidRPr="008B4349">
        <w:t xml:space="preserve"> 103–131. </w:t>
      </w:r>
    </w:p>
    <w:p w14:paraId="2B6B4B3B" w14:textId="5D01F647" w:rsidR="00CA48CD" w:rsidRDefault="00CA48CD" w:rsidP="00C5240A">
      <w:pPr>
        <w:pStyle w:val="ICMEReference"/>
      </w:pPr>
      <w:r w:rsidRPr="008B4349">
        <w:t>Mamona-Downs, J. (2010). On introducing a set perspective in the learn</w:t>
      </w:r>
      <w:r w:rsidR="0017426F" w:rsidRPr="008B4349">
        <w:t>ing of limits of real sequences.</w:t>
      </w:r>
      <w:r w:rsidRPr="008B4349">
        <w:t xml:space="preserve"> </w:t>
      </w:r>
      <w:r w:rsidRPr="008B4349">
        <w:rPr>
          <w:i/>
        </w:rPr>
        <w:t>International Journal of Mathematical Educatio</w:t>
      </w:r>
      <w:r w:rsidR="0017426F" w:rsidRPr="008B4349">
        <w:rPr>
          <w:i/>
        </w:rPr>
        <w:t>n in Science and Technology, 41</w:t>
      </w:r>
      <w:r w:rsidR="0017426F" w:rsidRPr="008B4349">
        <w:t>(</w:t>
      </w:r>
      <w:r w:rsidRPr="008B4349">
        <w:t>2</w:t>
      </w:r>
      <w:r w:rsidR="0017426F" w:rsidRPr="008B4349">
        <w:t>)</w:t>
      </w:r>
      <w:r w:rsidRPr="008B4349">
        <w:t>, 277-291</w:t>
      </w:r>
      <w:r w:rsidR="0017426F" w:rsidRPr="008B4349">
        <w:t>.</w:t>
      </w:r>
    </w:p>
    <w:p w14:paraId="20B8636B" w14:textId="5B8D6895" w:rsidR="00EB009C" w:rsidRPr="00EB009C" w:rsidRDefault="00EB009C" w:rsidP="00EB009C">
      <w:pPr>
        <w:pStyle w:val="ICMEReference"/>
        <w:rPr>
          <w:i/>
          <w:iCs/>
        </w:rPr>
      </w:pPr>
      <w:r>
        <w:t xml:space="preserve">Mariotti M. A. et al. (2004) Reasoning, proof and proving in mathematics education. </w:t>
      </w:r>
      <w:r>
        <w:rPr>
          <w:i/>
          <w:iCs/>
        </w:rPr>
        <w:t>Proceedings ICME10</w:t>
      </w:r>
      <w:r>
        <w:t>, Copenhagen, Denmark.</w:t>
      </w:r>
    </w:p>
    <w:p w14:paraId="2704DCF3" w14:textId="091BAC33" w:rsidR="00523677" w:rsidRPr="008B4349" w:rsidRDefault="00523677" w:rsidP="00C5240A">
      <w:pPr>
        <w:pStyle w:val="ICMEReference"/>
      </w:pPr>
      <w:r w:rsidRPr="008B4349">
        <w:lastRenderedPageBreak/>
        <w:t xml:space="preserve">Meel, D. E. </w:t>
      </w:r>
      <w:r w:rsidR="008B590B" w:rsidRPr="008B4349">
        <w:t>&amp; Hern, T. A. (2005</w:t>
      </w:r>
      <w:r w:rsidRPr="008B4349">
        <w:t xml:space="preserve">). Tool building: Web-based linear algebra modules. </w:t>
      </w:r>
      <w:r w:rsidRPr="008B4349">
        <w:rPr>
          <w:i/>
        </w:rPr>
        <w:t>Journal of Online Mathematics and its Applications</w:t>
      </w:r>
      <w:r w:rsidRPr="008B4349">
        <w:t xml:space="preserve">. Obtained from </w:t>
      </w:r>
      <w:hyperlink r:id="rId20" w:history="1">
        <w:r w:rsidRPr="008B4349">
          <w:rPr>
            <w:rStyle w:val="Hyperlink"/>
          </w:rPr>
          <w:t>http://mathdl.maa.org/mathDL/4/?pa=content&amp;sa=viewDocument&amp;nodeId=560&amp;pf=1</w:t>
        </w:r>
      </w:hyperlink>
      <w:r w:rsidRPr="008B4349">
        <w:t xml:space="preserve"> on April 30, 2011.</w:t>
      </w:r>
    </w:p>
    <w:p w14:paraId="48CB3BA4" w14:textId="3672B529" w:rsidR="00523677" w:rsidRPr="008B4349" w:rsidRDefault="008B590B" w:rsidP="00C5240A">
      <w:pPr>
        <w:pStyle w:val="ICMEReference"/>
      </w:pPr>
      <w:r w:rsidRPr="008B4349">
        <w:t xml:space="preserve">Nardi, E. (2000). </w:t>
      </w:r>
      <w:r w:rsidR="00523677" w:rsidRPr="008B4349">
        <w:t>Mathematics undergraduates' responses to semantic abbreviations, 'geometric' images and multi-leve</w:t>
      </w:r>
      <w:r w:rsidRPr="008B4349">
        <w:t>l abstractions in Group Theory.</w:t>
      </w:r>
      <w:r w:rsidR="00523677" w:rsidRPr="008B4349">
        <w:t xml:space="preserve"> </w:t>
      </w:r>
      <w:r w:rsidR="00523677" w:rsidRPr="008B4349">
        <w:rPr>
          <w:i/>
        </w:rPr>
        <w:t>Educational Studies in Mathematics</w:t>
      </w:r>
      <w:r w:rsidRPr="008B4349">
        <w:rPr>
          <w:i/>
        </w:rPr>
        <w:t>,</w:t>
      </w:r>
      <w:r w:rsidR="00523677" w:rsidRPr="008B4349">
        <w:rPr>
          <w:i/>
        </w:rPr>
        <w:t xml:space="preserve"> </w:t>
      </w:r>
      <w:r w:rsidR="00523677" w:rsidRPr="008B4349">
        <w:rPr>
          <w:bCs/>
          <w:i/>
        </w:rPr>
        <w:t>43</w:t>
      </w:r>
      <w:r w:rsidRPr="008B4349">
        <w:rPr>
          <w:i/>
        </w:rPr>
        <w:t>,</w:t>
      </w:r>
      <w:r w:rsidR="00523677" w:rsidRPr="008B4349">
        <w:rPr>
          <w:i/>
        </w:rPr>
        <w:t xml:space="preserve"> </w:t>
      </w:r>
      <w:r w:rsidR="00523677" w:rsidRPr="008B4349">
        <w:t>169-189.</w:t>
      </w:r>
    </w:p>
    <w:p w14:paraId="37BBE05A" w14:textId="77777777" w:rsidR="00523677" w:rsidRPr="008B4349" w:rsidRDefault="00523677" w:rsidP="00C5240A">
      <w:pPr>
        <w:pStyle w:val="ICMEReference"/>
      </w:pPr>
      <w:r w:rsidRPr="008B4349">
        <w:t xml:space="preserve">Nardi, E. (2008). </w:t>
      </w:r>
      <w:r w:rsidRPr="005E3443">
        <w:t>Amongst mathematicians: Teaching and learning mathematics at university level</w:t>
      </w:r>
      <w:r w:rsidRPr="008B4349">
        <w:t>. New York: Springer.</w:t>
      </w:r>
    </w:p>
    <w:p w14:paraId="3D9AAFB7" w14:textId="77777777" w:rsidR="00523677" w:rsidRPr="008B4349" w:rsidRDefault="00523677" w:rsidP="00C5240A">
      <w:pPr>
        <w:pStyle w:val="ICMEReference"/>
      </w:pPr>
      <w:r w:rsidRPr="008B4349">
        <w:t xml:space="preserve">Nardi, E. (2011). ‘Driving noticing’ yet ‘risking precision’: University mathematicians’ pedagogical perspectives on verbalisation in mathematics. In M. Pytlak, T. Rowland, &amp; E. Swoboda (Eds.), </w:t>
      </w:r>
      <w:r w:rsidRPr="008B4349">
        <w:rPr>
          <w:i/>
        </w:rPr>
        <w:t>Proceedings of the 7th Conference of European Researchers in Mathematics Education</w:t>
      </w:r>
      <w:r w:rsidRPr="008B4349">
        <w:t xml:space="preserve"> (pp. 2053-2062). Rzeszow, Poland.</w:t>
      </w:r>
    </w:p>
    <w:p w14:paraId="1B9851FA" w14:textId="4753F4D7" w:rsidR="00523677" w:rsidRPr="008B4349" w:rsidRDefault="00523677" w:rsidP="00C5240A">
      <w:pPr>
        <w:pStyle w:val="ICMEReference"/>
        <w:rPr>
          <w:lang w:eastAsia="zh-CN"/>
        </w:rPr>
      </w:pPr>
      <w:r w:rsidRPr="008B4349">
        <w:rPr>
          <w:bCs/>
          <w:lang w:eastAsia="zh-CN"/>
        </w:rPr>
        <w:t>Niss</w:t>
      </w:r>
      <w:r w:rsidR="008B590B" w:rsidRPr="008B4349">
        <w:rPr>
          <w:bCs/>
          <w:lang w:eastAsia="zh-CN"/>
        </w:rPr>
        <w:t>,</w:t>
      </w:r>
      <w:r w:rsidRPr="008B4349">
        <w:rPr>
          <w:bCs/>
          <w:lang w:eastAsia="zh-CN"/>
        </w:rPr>
        <w:t xml:space="preserve"> M., Blum</w:t>
      </w:r>
      <w:r w:rsidR="008B590B" w:rsidRPr="008B4349">
        <w:rPr>
          <w:bCs/>
          <w:lang w:eastAsia="zh-CN"/>
        </w:rPr>
        <w:t xml:space="preserve">, W., </w:t>
      </w:r>
      <w:r w:rsidR="00086833" w:rsidRPr="008B4349">
        <w:rPr>
          <w:bCs/>
          <w:lang w:eastAsia="zh-CN"/>
        </w:rPr>
        <w:t xml:space="preserve">&amp; </w:t>
      </w:r>
      <w:r w:rsidR="008B590B" w:rsidRPr="008B4349">
        <w:rPr>
          <w:bCs/>
          <w:lang w:eastAsia="zh-CN"/>
        </w:rPr>
        <w:t>Galbraith, P. L.</w:t>
      </w:r>
      <w:r w:rsidRPr="008B4349">
        <w:rPr>
          <w:bCs/>
          <w:lang w:eastAsia="zh-CN"/>
        </w:rPr>
        <w:t xml:space="preserve"> (2007). Part 1: I</w:t>
      </w:r>
      <w:r w:rsidR="008B590B" w:rsidRPr="008B4349">
        <w:rPr>
          <w:bCs/>
          <w:lang w:eastAsia="zh-CN"/>
        </w:rPr>
        <w:t>ntroduction. In W.</w:t>
      </w:r>
      <w:r w:rsidRPr="008B4349">
        <w:rPr>
          <w:bCs/>
          <w:lang w:eastAsia="zh-CN"/>
        </w:rPr>
        <w:t xml:space="preserve"> </w:t>
      </w:r>
      <w:r w:rsidR="008B590B" w:rsidRPr="008B4349">
        <w:t>Blum, P. L. Galbraith</w:t>
      </w:r>
      <w:r w:rsidRPr="008B4349">
        <w:t xml:space="preserve">, </w:t>
      </w:r>
      <w:r w:rsidR="008B590B" w:rsidRPr="008B4349">
        <w:t xml:space="preserve">H.-W. </w:t>
      </w:r>
      <w:r w:rsidRPr="008B4349">
        <w:t xml:space="preserve">Henn, &amp; </w:t>
      </w:r>
      <w:r w:rsidR="008B590B" w:rsidRPr="008B4349">
        <w:t>M. Niss (Eds.),</w:t>
      </w:r>
      <w:r w:rsidRPr="008B4349">
        <w:t xml:space="preserve"> </w:t>
      </w:r>
      <w:r w:rsidRPr="008B4349">
        <w:rPr>
          <w:i/>
        </w:rPr>
        <w:t xml:space="preserve">Modelling and applications in mathematics education. The 14th ICMI Study. </w:t>
      </w:r>
      <w:r w:rsidRPr="008B4349">
        <w:t>New York/etc.: Springer, New ICMI Studies series 10.</w:t>
      </w:r>
    </w:p>
    <w:p w14:paraId="5F5164B1" w14:textId="193910A1" w:rsidR="00F53840" w:rsidRPr="008B4349" w:rsidRDefault="00F53840" w:rsidP="00C5240A">
      <w:pPr>
        <w:pStyle w:val="ICMEReference"/>
        <w:rPr>
          <w:lang w:eastAsia="ko-KR"/>
        </w:rPr>
      </w:pPr>
      <w:r w:rsidRPr="008B4349">
        <w:t xml:space="preserve">Oates, G., Paterson, J., Reilly I., &amp; Statham, M. (2005). </w:t>
      </w:r>
      <w:r w:rsidR="00CA374F" w:rsidRPr="008B4349">
        <w:rPr>
          <w:lang w:eastAsia="ko-KR"/>
        </w:rPr>
        <w:t xml:space="preserve">Effective tutorial programmes in tertiary mathematics. </w:t>
      </w:r>
      <w:r w:rsidRPr="008B4349">
        <w:rPr>
          <w:i/>
          <w:iCs/>
        </w:rPr>
        <w:t>International Journal of Mathematical Education in Science and Technology</w:t>
      </w:r>
      <w:r w:rsidRPr="008B4349">
        <w:t xml:space="preserve">, </w:t>
      </w:r>
      <w:r w:rsidRPr="008B4349">
        <w:rPr>
          <w:i/>
          <w:iCs/>
        </w:rPr>
        <w:t>36</w:t>
      </w:r>
      <w:r w:rsidRPr="008B4349">
        <w:t>(</w:t>
      </w:r>
      <w:r w:rsidR="00CA374F" w:rsidRPr="008B4349">
        <w:t>2), 731-739</w:t>
      </w:r>
      <w:r w:rsidRPr="008B4349">
        <w:t>. doi:10.1080/0020739042000196331</w:t>
      </w:r>
    </w:p>
    <w:p w14:paraId="3D8DA4B5" w14:textId="5090C778" w:rsidR="00523677" w:rsidRPr="008B4349" w:rsidRDefault="008B590B" w:rsidP="00C5240A">
      <w:pPr>
        <w:pStyle w:val="ICMEReference"/>
      </w:pPr>
      <w:r w:rsidRPr="008B4349">
        <w:t>Oehrtman, M.</w:t>
      </w:r>
      <w:r w:rsidR="00523677" w:rsidRPr="008B4349">
        <w:t xml:space="preserve"> (2009). Collapsing dimensions, physical limitation, and other student metaphors for limit concepts. </w:t>
      </w:r>
      <w:r w:rsidR="00523677" w:rsidRPr="008B4349">
        <w:rPr>
          <w:i/>
        </w:rPr>
        <w:t>Journal for Research in Mathematics Education</w:t>
      </w:r>
      <w:r w:rsidRPr="008B4349">
        <w:t xml:space="preserve">, </w:t>
      </w:r>
      <w:r w:rsidRPr="008B4349">
        <w:rPr>
          <w:i/>
        </w:rPr>
        <w:t>40</w:t>
      </w:r>
      <w:r w:rsidRPr="008B4349">
        <w:t>(</w:t>
      </w:r>
      <w:r w:rsidR="00523677" w:rsidRPr="008B4349">
        <w:t>4</w:t>
      </w:r>
      <w:r w:rsidRPr="008B4349">
        <w:t>)</w:t>
      </w:r>
      <w:r w:rsidR="00523677" w:rsidRPr="008B4349">
        <w:t xml:space="preserve">, 396-426. </w:t>
      </w:r>
    </w:p>
    <w:p w14:paraId="757CD15D" w14:textId="6F9D3099" w:rsidR="00BE5ADA" w:rsidRPr="008B4349" w:rsidRDefault="00BE5ADA" w:rsidP="00C5240A">
      <w:pPr>
        <w:pStyle w:val="ICMEReference"/>
      </w:pPr>
      <w:r w:rsidRPr="008B4349">
        <w:t xml:space="preserve">Palla, </w:t>
      </w:r>
      <w:r w:rsidR="0095177F" w:rsidRPr="008B4349">
        <w:t xml:space="preserve">M., </w:t>
      </w:r>
      <w:r w:rsidRPr="008B4349">
        <w:t>Potari</w:t>
      </w:r>
      <w:r w:rsidR="0095177F" w:rsidRPr="008B4349">
        <w:t>, D.,</w:t>
      </w:r>
      <w:r w:rsidRPr="008B4349">
        <w:t xml:space="preserve"> &amp; Spyrou</w:t>
      </w:r>
      <w:r w:rsidR="0095177F" w:rsidRPr="008B4349">
        <w:t>, P.</w:t>
      </w:r>
      <w:r w:rsidRPr="008B4349">
        <w:t xml:space="preserve"> (2011). S</w:t>
      </w:r>
      <w:r w:rsidR="0095177F" w:rsidRPr="008B4349">
        <w:t>econdary school students’ understanding of mathematical induction: structural characteristics and the process of proof construction</w:t>
      </w:r>
      <w:r w:rsidRPr="008B4349">
        <w:t xml:space="preserve">. </w:t>
      </w:r>
      <w:r w:rsidRPr="008B4349">
        <w:rPr>
          <w:i/>
        </w:rPr>
        <w:t>International Journal of Science and Mathematics Education</w:t>
      </w:r>
      <w:r w:rsidRPr="008B4349">
        <w:t xml:space="preserve">, </w:t>
      </w:r>
      <w:r w:rsidR="0095177F" w:rsidRPr="008B4349">
        <w:t>Published Online 4 August 2011.</w:t>
      </w:r>
    </w:p>
    <w:p w14:paraId="2BA37DFA" w14:textId="77777777" w:rsidR="00523677" w:rsidRPr="008B4349" w:rsidRDefault="00523677" w:rsidP="00C5240A">
      <w:pPr>
        <w:pStyle w:val="ICMEReference"/>
      </w:pPr>
      <w:r w:rsidRPr="008B4349">
        <w:t xml:space="preserve">Pedemonte, B. (2007). How can the relationship between argumentation and proof be analysed? </w:t>
      </w:r>
      <w:r w:rsidRPr="008B4349">
        <w:rPr>
          <w:i/>
        </w:rPr>
        <w:t>Educational Studies in Mathematics, 66</w:t>
      </w:r>
      <w:r w:rsidRPr="008B4349">
        <w:t>, 23–41.</w:t>
      </w:r>
    </w:p>
    <w:p w14:paraId="3A24A461" w14:textId="77777777" w:rsidR="00523677" w:rsidRPr="008B4349" w:rsidRDefault="00523677" w:rsidP="00C5240A">
      <w:pPr>
        <w:pStyle w:val="ICMEReference"/>
      </w:pPr>
      <w:r w:rsidRPr="008B4349">
        <w:t xml:space="preserve">Pedemonte, B. (2008). Argumentation and algebraic proof. </w:t>
      </w:r>
      <w:r w:rsidRPr="008B4349">
        <w:rPr>
          <w:i/>
        </w:rPr>
        <w:t>ZDM – The International Journal on Mathematics Education, 40(</w:t>
      </w:r>
      <w:r w:rsidRPr="008B4349">
        <w:t>3), 385–400.</w:t>
      </w:r>
    </w:p>
    <w:p w14:paraId="2AC2FECC" w14:textId="6FFEE105" w:rsidR="00523677" w:rsidRPr="008B4349" w:rsidRDefault="00523677" w:rsidP="00C5240A">
      <w:pPr>
        <w:pStyle w:val="ICMEReference"/>
      </w:pPr>
      <w:r w:rsidRPr="008B4349">
        <w:t xml:space="preserve">Perrenet, J., </w:t>
      </w:r>
      <w:r w:rsidR="008B590B" w:rsidRPr="008B4349">
        <w:t xml:space="preserve">&amp; </w:t>
      </w:r>
      <w:r w:rsidRPr="008B4349">
        <w:t>Taconis, R. (2009). Mathematical enculturation f</w:t>
      </w:r>
      <w:r w:rsidR="008B590B" w:rsidRPr="008B4349">
        <w:t>rom the students’ perspective: S</w:t>
      </w:r>
      <w:r w:rsidRPr="008B4349">
        <w:t xml:space="preserve">hifts in problem-solving beliefs and behaviour during the bachelor programme. </w:t>
      </w:r>
      <w:r w:rsidRPr="008B4349">
        <w:rPr>
          <w:i/>
        </w:rPr>
        <w:t>Educ</w:t>
      </w:r>
      <w:r w:rsidR="008B590B" w:rsidRPr="008B4349">
        <w:rPr>
          <w:i/>
        </w:rPr>
        <w:t>ational</w:t>
      </w:r>
      <w:r w:rsidRPr="008B4349">
        <w:rPr>
          <w:i/>
        </w:rPr>
        <w:t xml:space="preserve"> Stud</w:t>
      </w:r>
      <w:r w:rsidR="008B590B" w:rsidRPr="008B4349">
        <w:rPr>
          <w:i/>
        </w:rPr>
        <w:t>ies in</w:t>
      </w:r>
      <w:r w:rsidRPr="008B4349">
        <w:rPr>
          <w:i/>
        </w:rPr>
        <w:t xml:space="preserve"> Math</w:t>
      </w:r>
      <w:r w:rsidR="008B590B" w:rsidRPr="008B4349">
        <w:rPr>
          <w:i/>
        </w:rPr>
        <w:t>ematics,</w:t>
      </w:r>
      <w:r w:rsidR="008B590B" w:rsidRPr="008B4349">
        <w:t xml:space="preserve"> </w:t>
      </w:r>
      <w:r w:rsidR="008B590B" w:rsidRPr="008B4349">
        <w:rPr>
          <w:i/>
        </w:rPr>
        <w:t>71</w:t>
      </w:r>
      <w:r w:rsidR="008B590B" w:rsidRPr="008B4349">
        <w:t xml:space="preserve">, </w:t>
      </w:r>
      <w:r w:rsidRPr="008B4349">
        <w:t>181–198. DOI 10.1007/s10649-008-9166-9</w:t>
      </w:r>
    </w:p>
    <w:p w14:paraId="15B59E9F" w14:textId="2B467574" w:rsidR="00523677" w:rsidRPr="008B4349" w:rsidRDefault="00523677" w:rsidP="00C5240A">
      <w:pPr>
        <w:pStyle w:val="ICMEReference"/>
        <w:rPr>
          <w:color w:val="141314"/>
        </w:rPr>
      </w:pPr>
      <w:r w:rsidRPr="008B4349">
        <w:t xml:space="preserve">Petocz, P., Reid, A., Wood, L. N., Smith, G. H., Mather, G., Harding, A., Engelbrecht, J., Houston, K., Hillel, J., </w:t>
      </w:r>
      <w:r w:rsidR="008B590B" w:rsidRPr="008B4349">
        <w:t xml:space="preserve">&amp; </w:t>
      </w:r>
      <w:r w:rsidRPr="008B4349">
        <w:t>Perrett, G. (2007). Undergraduate students’ conceptions of mathematics: An international study</w:t>
      </w:r>
      <w:r w:rsidRPr="008B4349">
        <w:rPr>
          <w:i/>
        </w:rPr>
        <w:t>. International Journal of Science and Mathematics Education</w:t>
      </w:r>
      <w:r w:rsidR="00086833" w:rsidRPr="008B4349">
        <w:rPr>
          <w:i/>
        </w:rPr>
        <w:t>,</w:t>
      </w:r>
      <w:r w:rsidRPr="008B4349">
        <w:rPr>
          <w:i/>
        </w:rPr>
        <w:t xml:space="preserve"> </w:t>
      </w:r>
      <w:r w:rsidRPr="008B4349">
        <w:rPr>
          <w:color w:val="141314"/>
        </w:rPr>
        <w:t xml:space="preserve"> 5</w:t>
      </w:r>
      <w:r w:rsidR="00086833" w:rsidRPr="008B4349">
        <w:rPr>
          <w:color w:val="141314"/>
        </w:rPr>
        <w:t>,</w:t>
      </w:r>
      <w:r w:rsidRPr="008B4349">
        <w:rPr>
          <w:color w:val="141314"/>
        </w:rPr>
        <w:t xml:space="preserve"> 439-459.</w:t>
      </w:r>
    </w:p>
    <w:p w14:paraId="6633F3E0" w14:textId="77777777" w:rsidR="00523677" w:rsidRPr="008B4349" w:rsidRDefault="00523677" w:rsidP="00C5240A">
      <w:pPr>
        <w:pStyle w:val="ICMEReference"/>
      </w:pPr>
      <w:r w:rsidRPr="008B4349">
        <w:t xml:space="preserve">Portnoy, N., Grundmeier, T. A., &amp; Graham, K. J. (2006). Students' understanding of mathematical objects in the context of transformational geometry: Implications for constructing and understanding proofs. </w:t>
      </w:r>
      <w:r w:rsidRPr="008B4349">
        <w:rPr>
          <w:i/>
        </w:rPr>
        <w:t>The Journal of Mathematical Behavior, 25</w:t>
      </w:r>
      <w:r w:rsidRPr="008B4349">
        <w:t xml:space="preserve">, 196-207. </w:t>
      </w:r>
    </w:p>
    <w:p w14:paraId="721FB91B" w14:textId="77777777" w:rsidR="00523677" w:rsidRPr="008B4349" w:rsidRDefault="00523677" w:rsidP="00C5240A">
      <w:pPr>
        <w:pStyle w:val="ICMEReference"/>
      </w:pPr>
      <w:r w:rsidRPr="008B4349">
        <w:t xml:space="preserve">Possani, E., Trigueros, M., Preciado, J., &amp; Lozano, M. (2010). Use of models in the teaching of linear algebra. </w:t>
      </w:r>
      <w:r w:rsidRPr="008B4349">
        <w:rPr>
          <w:i/>
        </w:rPr>
        <w:t>Linear Algebra and its Applications, 432</w:t>
      </w:r>
      <w:r w:rsidRPr="008B4349">
        <w:t xml:space="preserve">, 2125-2140. </w:t>
      </w:r>
    </w:p>
    <w:p w14:paraId="02A12327" w14:textId="3AD983E9" w:rsidR="00523677" w:rsidRPr="008B4349" w:rsidRDefault="00523677" w:rsidP="00C5240A">
      <w:pPr>
        <w:pStyle w:val="ICMEReference"/>
      </w:pPr>
      <w:r w:rsidRPr="008B4349">
        <w:t>Praslon</w:t>
      </w:r>
      <w:r w:rsidR="006F6C78" w:rsidRPr="008B4349">
        <w:t>,</w:t>
      </w:r>
      <w:r w:rsidRPr="008B4349">
        <w:t xml:space="preserve"> F. (2000). Continuités et ruptures dans la transition Terminale S/DEUG Sciences en analyse. Le cas de la notion de dérivée et son environnement. In, T. Assude &amp; B. Grugeon (Eds.), </w:t>
      </w:r>
      <w:r w:rsidRPr="008B4349">
        <w:rPr>
          <w:i/>
        </w:rPr>
        <w:t>Actes du Séminaire National de Didactique des Mathématiques</w:t>
      </w:r>
      <w:r w:rsidR="005B0557" w:rsidRPr="008B4349">
        <w:t xml:space="preserve"> (</w:t>
      </w:r>
      <w:r w:rsidRPr="008B4349">
        <w:t>pp. 185-220</w:t>
      </w:r>
      <w:r w:rsidR="005B0557" w:rsidRPr="008B4349">
        <w:t>)</w:t>
      </w:r>
      <w:r w:rsidRPr="008B4349">
        <w:t>. IREM Paris 7.</w:t>
      </w:r>
    </w:p>
    <w:p w14:paraId="7364B8AD" w14:textId="45A6489A" w:rsidR="003B746F" w:rsidRPr="008B4349" w:rsidRDefault="003B746F" w:rsidP="00C5240A">
      <w:pPr>
        <w:pStyle w:val="ICMEReference"/>
        <w:rPr>
          <w:sz w:val="30"/>
        </w:rPr>
      </w:pPr>
      <w:r w:rsidRPr="008B4349">
        <w:lastRenderedPageBreak/>
        <w:t xml:space="preserve">President’s Council of Advisors on Science and Technology (PCAST) (2012). </w:t>
      </w:r>
      <w:r w:rsidRPr="00B27D4C">
        <w:t xml:space="preserve">Engage to </w:t>
      </w:r>
      <w:r w:rsidR="005B0557" w:rsidRPr="00B27D4C">
        <w:t>e</w:t>
      </w:r>
      <w:r w:rsidRPr="00B27D4C">
        <w:t xml:space="preserve">xcel: Producing </w:t>
      </w:r>
      <w:r w:rsidR="005B0557" w:rsidRPr="00B27D4C">
        <w:t xml:space="preserve">one million additional college graduates </w:t>
      </w:r>
      <w:r w:rsidRPr="00B27D4C">
        <w:t xml:space="preserve">with Degrees in Science, Technology, Engineering, and Mathematics. </w:t>
      </w:r>
      <w:r w:rsidRPr="008B4349">
        <w:t>Washington, DC: The White House.</w:t>
      </w:r>
    </w:p>
    <w:p w14:paraId="578FF559" w14:textId="77777777" w:rsidR="009569A4" w:rsidRPr="008B4349" w:rsidRDefault="009569A4" w:rsidP="00C5240A">
      <w:pPr>
        <w:pStyle w:val="ICMEReference"/>
      </w:pPr>
      <w:r w:rsidRPr="008B4349">
        <w:t xml:space="preserve">Rogalski, M. (2000). The teaching experiment in Lille. In J.-L. Dorier (Ed.), </w:t>
      </w:r>
      <w:r w:rsidRPr="008B4349">
        <w:rPr>
          <w:i/>
        </w:rPr>
        <w:t xml:space="preserve">On the teaching of linear algebra </w:t>
      </w:r>
      <w:r w:rsidRPr="008B4349">
        <w:t>(pp. 133-149)</w:t>
      </w:r>
      <w:r w:rsidRPr="008B4349">
        <w:rPr>
          <w:i/>
        </w:rPr>
        <w:t xml:space="preserve">. </w:t>
      </w:r>
      <w:r w:rsidRPr="008B4349">
        <w:t xml:space="preserve">Dordrecht, The Netherlands: Kluwer. </w:t>
      </w:r>
    </w:p>
    <w:p w14:paraId="31E86C3E" w14:textId="1D62B9F5" w:rsidR="00523677" w:rsidRPr="008B4349" w:rsidRDefault="00523677" w:rsidP="00C5240A">
      <w:pPr>
        <w:pStyle w:val="ICMEReference"/>
      </w:pPr>
      <w:r w:rsidRPr="008B4349">
        <w:t>Rogalski</w:t>
      </w:r>
      <w:r w:rsidR="000B56FD" w:rsidRPr="008B4349">
        <w:t>,</w:t>
      </w:r>
      <w:r w:rsidRPr="008B4349">
        <w:t xml:space="preserve"> M. (2008). Les rapports entre local et global: mathématiques, rôle en physique élémentaire, questions didactiques. In L. Viennot (Ed.) </w:t>
      </w:r>
      <w:r w:rsidRPr="008B4349">
        <w:rPr>
          <w:i/>
        </w:rPr>
        <w:t>Didactique, épistémologie et histoire des sciences</w:t>
      </w:r>
      <w:r w:rsidR="005B0557" w:rsidRPr="008B4349">
        <w:rPr>
          <w:i/>
        </w:rPr>
        <w:t xml:space="preserve"> </w:t>
      </w:r>
      <w:r w:rsidR="005B0557" w:rsidRPr="008B4349">
        <w:t>(</w:t>
      </w:r>
      <w:r w:rsidRPr="008B4349">
        <w:t>pp.</w:t>
      </w:r>
      <w:r w:rsidR="005B0557" w:rsidRPr="008B4349">
        <w:t xml:space="preserve"> </w:t>
      </w:r>
      <w:r w:rsidRPr="008B4349">
        <w:t>61-87</w:t>
      </w:r>
      <w:r w:rsidR="005B0557" w:rsidRPr="008B4349">
        <w:t>)</w:t>
      </w:r>
      <w:r w:rsidRPr="008B4349">
        <w:rPr>
          <w:i/>
        </w:rPr>
        <w:t xml:space="preserve">. </w:t>
      </w:r>
      <w:r w:rsidRPr="008B4349">
        <w:t xml:space="preserve">Paris: Presses Universitaires de France. </w:t>
      </w:r>
    </w:p>
    <w:p w14:paraId="1291F12E" w14:textId="6F84B85A" w:rsidR="00523677" w:rsidRPr="008B4349" w:rsidRDefault="00523677" w:rsidP="00C5240A">
      <w:pPr>
        <w:pStyle w:val="ICMEReference"/>
      </w:pPr>
      <w:r w:rsidRPr="008B4349">
        <w:t>Rogalski, J. &amp; Rogalski, M. (2004)</w:t>
      </w:r>
      <w:r w:rsidR="005B0557" w:rsidRPr="008B4349">
        <w:t>.</w:t>
      </w:r>
      <w:r w:rsidRPr="008B4349">
        <w:t xml:space="preserve"> Contribution à l’étude des modes de traitement de la validité de l’implication par de futurs enseignants de mathématiques, in </w:t>
      </w:r>
      <w:r w:rsidRPr="008B4349">
        <w:rPr>
          <w:i/>
          <w:iCs/>
        </w:rPr>
        <w:t>Annales de Didactique et de Sciences</w:t>
      </w:r>
      <w:r w:rsidRPr="008B4349">
        <w:t xml:space="preserve"> </w:t>
      </w:r>
      <w:r w:rsidRPr="008B4349">
        <w:rPr>
          <w:i/>
          <w:iCs/>
        </w:rPr>
        <w:t xml:space="preserve">Cognitives Vol.9, </w:t>
      </w:r>
      <w:r w:rsidRPr="008B4349">
        <w:t>Actes du colloque Argentoratum de juillet 2002, 175-203.</w:t>
      </w:r>
    </w:p>
    <w:p w14:paraId="40FF0DCB" w14:textId="51A1586B" w:rsidR="00CF57E7" w:rsidRPr="008B4349" w:rsidRDefault="00CF57E7" w:rsidP="00C5240A">
      <w:pPr>
        <w:pStyle w:val="ICMEReference"/>
      </w:pPr>
      <w:r w:rsidRPr="008B4349">
        <w:t>Scucuglia</w:t>
      </w:r>
      <w:r w:rsidR="005B0557" w:rsidRPr="008B4349">
        <w:t>,</w:t>
      </w:r>
      <w:r w:rsidRPr="008B4349">
        <w:t xml:space="preserve"> R. (2006). </w:t>
      </w:r>
      <w:r w:rsidRPr="008B4349">
        <w:rPr>
          <w:i/>
        </w:rPr>
        <w:t>A investigação do teorema fundamental do cálculo com calculadoras gráficas.</w:t>
      </w:r>
      <w:r w:rsidRPr="008B4349">
        <w:t xml:space="preserve"> Unpublished PhD Thesis, Universidade Estadual Paulista, Rio Claro, Brazil.</w:t>
      </w:r>
    </w:p>
    <w:p w14:paraId="55CEF677" w14:textId="77777777" w:rsidR="00523677" w:rsidRPr="008B4349" w:rsidRDefault="00523677" w:rsidP="00C5240A">
      <w:pPr>
        <w:pStyle w:val="ICMEReference"/>
      </w:pPr>
      <w:r w:rsidRPr="008B4349">
        <w:t xml:space="preserve">Selden, A. (2005). New developments and trends in tertiary mathematics education: Or more of the same? </w:t>
      </w:r>
      <w:r w:rsidRPr="008B4349">
        <w:rPr>
          <w:i/>
        </w:rPr>
        <w:t>International Journal of Mathematical Education in Science and Technology, 36</w:t>
      </w:r>
      <w:r w:rsidRPr="008B4349">
        <w:t>(2-3), 131-147.</w:t>
      </w:r>
    </w:p>
    <w:p w14:paraId="375AC813" w14:textId="35C9E74D" w:rsidR="00523677" w:rsidRPr="008B4349" w:rsidRDefault="003B53C2" w:rsidP="00C5240A">
      <w:pPr>
        <w:pStyle w:val="ICMEReference"/>
      </w:pPr>
      <w:r w:rsidRPr="008B4349">
        <w:t>Sierpinska, A.</w:t>
      </w:r>
      <w:r w:rsidR="00523677" w:rsidRPr="008B4349">
        <w:t xml:space="preserve"> Dreyfus, T.</w:t>
      </w:r>
      <w:r w:rsidR="005B0557" w:rsidRPr="008B4349">
        <w:t>,</w:t>
      </w:r>
      <w:r w:rsidR="00523677" w:rsidRPr="008B4349">
        <w:t xml:space="preserve"> &amp; Hillel, J. (1999). Evaluation of a teaching design in linear algebra: </w:t>
      </w:r>
      <w:r w:rsidR="005B0557" w:rsidRPr="008B4349">
        <w:t>T</w:t>
      </w:r>
      <w:r w:rsidR="00523677" w:rsidRPr="008B4349">
        <w:t>he case of linear transformations. </w:t>
      </w:r>
      <w:r w:rsidR="00523677" w:rsidRPr="008B4349">
        <w:rPr>
          <w:i/>
        </w:rPr>
        <w:t>Recherches en Didactique des Mathématiques, 19</w:t>
      </w:r>
      <w:r w:rsidR="00523677" w:rsidRPr="008B4349">
        <w:t>, 7–40.</w:t>
      </w:r>
    </w:p>
    <w:p w14:paraId="30BA5B58" w14:textId="3468132B" w:rsidR="00523677" w:rsidRPr="008B4349" w:rsidRDefault="00523677" w:rsidP="00C5240A">
      <w:pPr>
        <w:pStyle w:val="ICMEReference"/>
      </w:pPr>
      <w:r w:rsidRPr="008B4349">
        <w:t>Smida, H.</w:t>
      </w:r>
      <w:r w:rsidR="005B0557" w:rsidRPr="008B4349">
        <w:t>,</w:t>
      </w:r>
      <w:r w:rsidRPr="008B4349">
        <w:t xml:space="preserve"> &amp; Ghedamsi, I. (2006). Pratiques enseignantes dans la transition lycée/université en analyse. Dans N. Bednarz (Dir.). </w:t>
      </w:r>
      <w:r w:rsidRPr="008B4349">
        <w:rPr>
          <w:i/>
        </w:rPr>
        <w:t>Actes du 3e colloque international Espace Mathématique Francophone: Thème 6</w:t>
      </w:r>
      <w:r w:rsidRPr="008B4349">
        <w:t xml:space="preserve"> (pp. CD-ROM). Sherbrooke: Université de Sherbrooke.</w:t>
      </w:r>
    </w:p>
    <w:p w14:paraId="7340A081" w14:textId="77777777" w:rsidR="00335A2F" w:rsidRPr="00335A2F" w:rsidRDefault="00335A2F" w:rsidP="00C5240A">
      <w:pPr>
        <w:pStyle w:val="ICMEReference"/>
        <w:rPr>
          <w:sz w:val="16"/>
        </w:rPr>
      </w:pPr>
      <w:r w:rsidRPr="00335A2F">
        <w:t xml:space="preserve">Smith, A. (2004). </w:t>
      </w:r>
      <w:r w:rsidRPr="00335A2F">
        <w:rPr>
          <w:i/>
        </w:rPr>
        <w:t>Making mathematics count</w:t>
      </w:r>
      <w:r w:rsidRPr="00335A2F">
        <w:t xml:space="preserve">. </w:t>
      </w:r>
      <w:r w:rsidRPr="00335A2F">
        <w:rPr>
          <w:szCs w:val="16"/>
        </w:rPr>
        <w:t>UK: The Stationery Office Limited.</w:t>
      </w:r>
    </w:p>
    <w:p w14:paraId="274FE07F" w14:textId="48C44ED8" w:rsidR="002F7A76" w:rsidRPr="008B4349" w:rsidRDefault="002F7A76" w:rsidP="00C5240A">
      <w:pPr>
        <w:pStyle w:val="ICMEReference"/>
      </w:pPr>
      <w:r w:rsidRPr="008B4349">
        <w:t xml:space="preserve">Solomon, Y. (2006). Deficit or difference? The role of students’ epistemologies of mathematics in their interactions with proof. </w:t>
      </w:r>
      <w:r w:rsidRPr="008B4349">
        <w:rPr>
          <w:i/>
        </w:rPr>
        <w:t>Educational Studies in Mathematics, 61,</w:t>
      </w:r>
      <w:r w:rsidRPr="008B4349">
        <w:t xml:space="preserve"> 373–393. </w:t>
      </w:r>
    </w:p>
    <w:p w14:paraId="0919612F" w14:textId="226398A9" w:rsidR="00523677" w:rsidRPr="008B4349" w:rsidRDefault="00523677" w:rsidP="00C5240A">
      <w:pPr>
        <w:pStyle w:val="ICMEReference"/>
        <w:rPr>
          <w:i/>
        </w:rPr>
      </w:pPr>
      <w:r w:rsidRPr="008B4349">
        <w:t>Stadler, E.  (2011</w:t>
      </w:r>
      <w:r w:rsidR="003B53C2" w:rsidRPr="008B4349">
        <w:t>). The same but different –</w:t>
      </w:r>
      <w:r w:rsidRPr="008B4349">
        <w:t xml:space="preserve"> novice university students solve a textbook exercise. In M. Pytlak, T. Rowland, &amp; E. Swoboda (Eds.), </w:t>
      </w:r>
      <w:r w:rsidRPr="008B4349">
        <w:rPr>
          <w:i/>
        </w:rPr>
        <w:t>Proceedings of the 7th Conference of European Researchers in Mathematics Education</w:t>
      </w:r>
      <w:r w:rsidRPr="008B4349">
        <w:t xml:space="preserve"> (pp. 2083-2092). Rzeszow, Poland.</w:t>
      </w:r>
    </w:p>
    <w:p w14:paraId="2DB1F302" w14:textId="77777777" w:rsidR="00523677" w:rsidRPr="008B4349" w:rsidRDefault="00523677" w:rsidP="00C5240A">
      <w:pPr>
        <w:pStyle w:val="ICMEReference"/>
      </w:pPr>
      <w:r w:rsidRPr="008B4349">
        <w:t xml:space="preserve">Stewart, S., &amp; Thomas, M. O. J. (2007). Embodied, symbolic and formal thinking in linear algebra. </w:t>
      </w:r>
      <w:r w:rsidRPr="008B4349">
        <w:rPr>
          <w:i/>
        </w:rPr>
        <w:t>International Journal of Mathematical Education in Science and Technology, 38</w:t>
      </w:r>
      <w:r w:rsidRPr="008B4349">
        <w:t xml:space="preserve">, 927-937. </w:t>
      </w:r>
    </w:p>
    <w:p w14:paraId="1EC470A4" w14:textId="7062E052" w:rsidR="00523677" w:rsidRPr="008B4349" w:rsidRDefault="00523677" w:rsidP="00C5240A">
      <w:pPr>
        <w:pStyle w:val="ICMEReference"/>
      </w:pPr>
      <w:r w:rsidRPr="008B4349">
        <w:t>Stewart, S., &amp; Thomas, M. O. J. (2009). A framew</w:t>
      </w:r>
      <w:r w:rsidR="008A55B6" w:rsidRPr="008B4349">
        <w:t>ork for mathematical thinking: T</w:t>
      </w:r>
      <w:r w:rsidRPr="008B4349">
        <w:t xml:space="preserve">he case of linear algebra. </w:t>
      </w:r>
      <w:r w:rsidRPr="008B4349">
        <w:rPr>
          <w:i/>
        </w:rPr>
        <w:t>International Journal of Mathematical Education in Science and Technology, 40</w:t>
      </w:r>
      <w:r w:rsidRPr="008B4349">
        <w:t xml:space="preserve">, 951 - 961. </w:t>
      </w:r>
    </w:p>
    <w:p w14:paraId="7122000B" w14:textId="77777777" w:rsidR="00523677" w:rsidRPr="008B4349" w:rsidRDefault="00523677" w:rsidP="00C5240A">
      <w:pPr>
        <w:pStyle w:val="ICMEReference"/>
      </w:pPr>
      <w:r w:rsidRPr="008B4349">
        <w:t xml:space="preserve">Stewart, S., &amp; Thomas, M. O. J. (2010). Student learning of basis, span and linear independence in linear algebra. </w:t>
      </w:r>
      <w:r w:rsidRPr="008B4349">
        <w:rPr>
          <w:i/>
        </w:rPr>
        <w:t>International Journal of Mathematical Education in Science and Technology, 41</w:t>
      </w:r>
      <w:r w:rsidRPr="008B4349">
        <w:t xml:space="preserve">, 173-188. </w:t>
      </w:r>
    </w:p>
    <w:p w14:paraId="4068963D" w14:textId="22C3AEEC" w:rsidR="00523677" w:rsidRPr="008B4349" w:rsidRDefault="00523677" w:rsidP="00C5240A">
      <w:pPr>
        <w:pStyle w:val="ICMEReference"/>
        <w:rPr>
          <w:lang w:eastAsia="zh-CN"/>
        </w:rPr>
      </w:pPr>
      <w:r w:rsidRPr="008B4349">
        <w:rPr>
          <w:lang w:eastAsia="zh-CN"/>
        </w:rPr>
        <w:t xml:space="preserve">Stillman, G. (2007). Upper secondary perspectives on applications and modelling. </w:t>
      </w:r>
      <w:r w:rsidRPr="008B4349">
        <w:rPr>
          <w:bCs/>
          <w:lang w:eastAsia="zh-CN"/>
        </w:rPr>
        <w:t xml:space="preserve">In </w:t>
      </w:r>
      <w:r w:rsidR="005B0557" w:rsidRPr="008B4349">
        <w:rPr>
          <w:bCs/>
          <w:lang w:eastAsia="zh-CN"/>
        </w:rPr>
        <w:t xml:space="preserve">W. </w:t>
      </w:r>
      <w:r w:rsidRPr="008B4349">
        <w:t xml:space="preserve">Blum, </w:t>
      </w:r>
      <w:r w:rsidR="005B0557" w:rsidRPr="008B4349">
        <w:t>P. L.</w:t>
      </w:r>
      <w:r w:rsidRPr="008B4349">
        <w:t xml:space="preserve"> Galbraith, </w:t>
      </w:r>
      <w:r w:rsidR="005B0557" w:rsidRPr="008B4349">
        <w:t>H.-W.</w:t>
      </w:r>
      <w:r w:rsidRPr="008B4349">
        <w:t xml:space="preserve"> Henn, </w:t>
      </w:r>
      <w:r w:rsidR="005B0557" w:rsidRPr="008B4349">
        <w:t xml:space="preserve">M. </w:t>
      </w:r>
      <w:r w:rsidRPr="008B4349">
        <w:t>&amp; Niss</w:t>
      </w:r>
      <w:r w:rsidR="005B0557" w:rsidRPr="008B4349">
        <w:t xml:space="preserve"> </w:t>
      </w:r>
      <w:r w:rsidRPr="008B4349">
        <w:t xml:space="preserve">(Eds.). </w:t>
      </w:r>
      <w:r w:rsidRPr="008B4349">
        <w:rPr>
          <w:i/>
        </w:rPr>
        <w:t xml:space="preserve">Modelling and applications in mathematics education. The 14th ICMI Study. </w:t>
      </w:r>
      <w:r w:rsidRPr="008B4349">
        <w:t>New York/etc.: Springer, New ICMI Studies series 10.</w:t>
      </w:r>
    </w:p>
    <w:p w14:paraId="07587FE6" w14:textId="25E3768A" w:rsidR="00523677" w:rsidRPr="008B4349" w:rsidRDefault="00523677" w:rsidP="00C5240A">
      <w:pPr>
        <w:pStyle w:val="ICMEReference"/>
      </w:pPr>
      <w:r w:rsidRPr="008B4349">
        <w:t xml:space="preserve">Stillman, G., </w:t>
      </w:r>
      <w:r w:rsidR="003B53C2" w:rsidRPr="008B4349">
        <w:t xml:space="preserve">&amp; </w:t>
      </w:r>
      <w:r w:rsidRPr="008B4349">
        <w:t>Ng</w:t>
      </w:r>
      <w:r w:rsidR="003B53C2" w:rsidRPr="008B4349">
        <w:t>,</w:t>
      </w:r>
      <w:r w:rsidRPr="008B4349">
        <w:t xml:space="preserve"> D. (2010). The </w:t>
      </w:r>
      <w:r w:rsidR="005B0557" w:rsidRPr="008B4349">
        <w:t>other side of the coin-attempts to embed authentic real world tasks in the secondary curriculum</w:t>
      </w:r>
      <w:r w:rsidR="003B53C2" w:rsidRPr="008B4349">
        <w:t>. In A.</w:t>
      </w:r>
      <w:r w:rsidRPr="008B4349">
        <w:t xml:space="preserve"> </w:t>
      </w:r>
      <w:r w:rsidR="003B53C2" w:rsidRPr="008B4349">
        <w:rPr>
          <w:rFonts w:eastAsia="Times New Roman"/>
        </w:rPr>
        <w:t>Araújo, A. Fernandes</w:t>
      </w:r>
      <w:r w:rsidRPr="008B4349">
        <w:rPr>
          <w:rFonts w:eastAsia="Times New Roman"/>
        </w:rPr>
        <w:t xml:space="preserve">, </w:t>
      </w:r>
      <w:r w:rsidR="003B53C2" w:rsidRPr="008B4349">
        <w:rPr>
          <w:rFonts w:eastAsia="Times New Roman"/>
        </w:rPr>
        <w:t>A. Azevedo</w:t>
      </w:r>
      <w:r w:rsidRPr="008B4349">
        <w:rPr>
          <w:rFonts w:eastAsia="Times New Roman"/>
        </w:rPr>
        <w:t xml:space="preserve">, </w:t>
      </w:r>
      <w:r w:rsidR="003B53C2" w:rsidRPr="008B4349">
        <w:rPr>
          <w:rFonts w:eastAsia="Times New Roman"/>
        </w:rPr>
        <w:t>&amp; J. F. Rodrigues (Eds.),</w:t>
      </w:r>
      <w:r w:rsidRPr="008B4349">
        <w:rPr>
          <w:rFonts w:eastAsia="Times New Roman"/>
        </w:rPr>
        <w:t xml:space="preserve"> </w:t>
      </w:r>
      <w:r w:rsidRPr="008B4349">
        <w:rPr>
          <w:i/>
        </w:rPr>
        <w:t>EI</w:t>
      </w:r>
      <w:r w:rsidRPr="008B4349">
        <w:rPr>
          <w:rFonts w:eastAsia="Times New Roman"/>
          <w:i/>
        </w:rPr>
        <w:t>MI 2010 Conference (educational interfaces between mathematics and industry) Proceedings.</w:t>
      </w:r>
      <w:r w:rsidRPr="008B4349">
        <w:rPr>
          <w:rFonts w:eastAsia="Times New Roman"/>
        </w:rPr>
        <w:t xml:space="preserve"> Comap Inc., Bedford, MA, USA.</w:t>
      </w:r>
    </w:p>
    <w:p w14:paraId="692F56F2" w14:textId="77777777" w:rsidR="00523677" w:rsidRPr="008B4349" w:rsidRDefault="00523677" w:rsidP="00C5240A">
      <w:pPr>
        <w:pStyle w:val="ICMEReference"/>
      </w:pPr>
      <w:r w:rsidRPr="008B4349">
        <w:lastRenderedPageBreak/>
        <w:t xml:space="preserve">Stylianides, A. J., &amp; Stylianides, G. J. (2007). The mental models theory of deductive reasoning: Implications for proof instruction. </w:t>
      </w:r>
      <w:r w:rsidRPr="008B4349">
        <w:rPr>
          <w:i/>
        </w:rPr>
        <w:t>Proceedings of CERME5, the 5</w:t>
      </w:r>
      <w:r w:rsidRPr="008B4349">
        <w:rPr>
          <w:i/>
          <w:vertAlign w:val="superscript"/>
        </w:rPr>
        <w:t>th</w:t>
      </w:r>
      <w:r w:rsidRPr="008B4349">
        <w:rPr>
          <w:i/>
        </w:rPr>
        <w:t xml:space="preserve"> Conference of European Research in Mathematics Education,</w:t>
      </w:r>
      <w:r w:rsidRPr="008B4349">
        <w:t xml:space="preserve"> 665-674.</w:t>
      </w:r>
    </w:p>
    <w:p w14:paraId="58276B30" w14:textId="6A8CC8B5" w:rsidR="00523677" w:rsidRPr="008B4349" w:rsidRDefault="00523677" w:rsidP="00C5240A">
      <w:pPr>
        <w:pStyle w:val="ICMEReference"/>
      </w:pPr>
      <w:r w:rsidRPr="008B4349">
        <w:t xml:space="preserve">Sweeney, G. (2011). Classroom </w:t>
      </w:r>
      <w:r w:rsidR="005B0557" w:rsidRPr="008B4349">
        <w:t>activity with vectors and vector equations</w:t>
      </w:r>
      <w:r w:rsidRPr="008B4349">
        <w:t xml:space="preserve">: Integrating </w:t>
      </w:r>
      <w:r w:rsidR="005B0557" w:rsidRPr="008B4349">
        <w:t xml:space="preserve">informal and formal ways of symbolizing </w:t>
      </w:r>
      <w:r w:rsidRPr="008B4349">
        <w:t>R</w:t>
      </w:r>
      <w:r w:rsidRPr="008B4349">
        <w:rPr>
          <w:vertAlign w:val="superscript"/>
        </w:rPr>
        <w:t>n</w:t>
      </w:r>
      <w:r w:rsidRPr="008B4349">
        <w:rPr>
          <w:i/>
        </w:rPr>
        <w:t>.</w:t>
      </w:r>
      <w:r w:rsidRPr="008B4349">
        <w:rPr>
          <w:i/>
          <w:vertAlign w:val="subscript"/>
        </w:rPr>
        <w:t xml:space="preserve"> </w:t>
      </w:r>
      <w:r w:rsidRPr="008B4349">
        <w:rPr>
          <w:i/>
        </w:rPr>
        <w:t>Paper presented at the 14</w:t>
      </w:r>
      <w:r w:rsidRPr="008B4349">
        <w:rPr>
          <w:i/>
          <w:vertAlign w:val="superscript"/>
        </w:rPr>
        <w:t>th</w:t>
      </w:r>
      <w:r w:rsidRPr="008B4349">
        <w:rPr>
          <w:i/>
        </w:rPr>
        <w:t xml:space="preserve"> Conference on Research in Undergraduate Mathematics Education</w:t>
      </w:r>
      <w:r w:rsidRPr="008B4349">
        <w:t>, Portland, OR.</w:t>
      </w:r>
    </w:p>
    <w:p w14:paraId="4470BBB7" w14:textId="77777777" w:rsidR="00EA0BFA" w:rsidRPr="008B4349" w:rsidRDefault="00EA0BFA" w:rsidP="00C5240A">
      <w:pPr>
        <w:pStyle w:val="ICMEReference"/>
      </w:pPr>
      <w:r w:rsidRPr="008B4349">
        <w:t xml:space="preserve">Tall, D. O. (2008). The transition to formal thinking in mathematics. </w:t>
      </w:r>
      <w:r w:rsidRPr="008B4349">
        <w:rPr>
          <w:i/>
        </w:rPr>
        <w:t>Mathematics Education Research Journal</w:t>
      </w:r>
      <w:r w:rsidRPr="008B4349">
        <w:t xml:space="preserve">, </w:t>
      </w:r>
      <w:r w:rsidRPr="008B4349">
        <w:rPr>
          <w:i/>
        </w:rPr>
        <w:t>20</w:t>
      </w:r>
      <w:r w:rsidRPr="008B4349">
        <w:t>(2), 5–24.</w:t>
      </w:r>
    </w:p>
    <w:p w14:paraId="6FEBE34C" w14:textId="33DE2E94" w:rsidR="00523677" w:rsidRPr="008B4349" w:rsidRDefault="00523677" w:rsidP="00C5240A">
      <w:pPr>
        <w:pStyle w:val="ICMEReference"/>
      </w:pPr>
      <w:r w:rsidRPr="008B4349">
        <w:rPr>
          <w:color w:val="131313"/>
        </w:rPr>
        <w:t xml:space="preserve">Tall, D. O., &amp; Mejia-Ramos, J. P. (2006). The long-term cognitive development of different types of reasoning and proof. </w:t>
      </w:r>
      <w:r w:rsidRPr="008B4349">
        <w:rPr>
          <w:i/>
          <w:iCs/>
        </w:rPr>
        <w:t xml:space="preserve">Conference on Explanation and Proof in Mathematics: Philosophical and Educational Perspectives, </w:t>
      </w:r>
      <w:r w:rsidRPr="008B4349">
        <w:t>Universität Duisburg-Essen, Campus Essen, 1-11.</w:t>
      </w:r>
    </w:p>
    <w:p w14:paraId="5F24D4DE" w14:textId="77777777" w:rsidR="004522ED" w:rsidRPr="008B4349" w:rsidRDefault="004522ED" w:rsidP="00C5240A">
      <w:pPr>
        <w:pStyle w:val="ICMEReference"/>
      </w:pPr>
      <w:r w:rsidRPr="008B4349">
        <w:t xml:space="preserve">Tempelaar, D. T., Rienties, B., Giesbers, B., &amp; Schim van der Loeff, S. (2012). Effectiveness of a voluntary postsecondary remediation program in mathematics. In P. Van den Bossche et al. (Eds.), </w:t>
      </w:r>
      <w:r w:rsidRPr="008B4349">
        <w:rPr>
          <w:i/>
          <w:iCs/>
        </w:rPr>
        <w:t xml:space="preserve">Learning at the Crossroads of Theory and Practice, </w:t>
      </w:r>
      <w:r w:rsidRPr="008B4349">
        <w:t xml:space="preserve">Advances in Business Education and Training 4 </w:t>
      </w:r>
      <w:r w:rsidRPr="008B4349">
        <w:rPr>
          <w:iCs/>
        </w:rPr>
        <w:t xml:space="preserve">(pp. </w:t>
      </w:r>
      <w:r w:rsidRPr="008B4349">
        <w:t>199-222), Dordrecht: Springer. DOI 10.1007/978-94-007-2846-2_13</w:t>
      </w:r>
    </w:p>
    <w:p w14:paraId="2A94C06A" w14:textId="582FBDE9" w:rsidR="00A4476C" w:rsidRPr="008B4349" w:rsidRDefault="00A4476C" w:rsidP="00C5240A">
      <w:pPr>
        <w:pStyle w:val="ICMEReference"/>
        <w:rPr>
          <w:color w:val="131313"/>
        </w:rPr>
      </w:pPr>
      <w:r w:rsidRPr="008B4349">
        <w:t xml:space="preserve">Thomas, M. O. J., &amp; Stewart, S. (2011). Eigenvalues and eigenvectors: Embodied, symbolic and formal thinking. </w:t>
      </w:r>
      <w:r w:rsidRPr="008B4349">
        <w:rPr>
          <w:i/>
        </w:rPr>
        <w:t>Mathematics Education Research Journal</w:t>
      </w:r>
      <w:r w:rsidRPr="008B4349">
        <w:t xml:space="preserve">, </w:t>
      </w:r>
      <w:r w:rsidRPr="008B4349">
        <w:rPr>
          <w:i/>
        </w:rPr>
        <w:t>23</w:t>
      </w:r>
      <w:r w:rsidRPr="008B4349">
        <w:t xml:space="preserve">(3), 275-296. </w:t>
      </w:r>
    </w:p>
    <w:p w14:paraId="19518BCF" w14:textId="77777777" w:rsidR="00523677" w:rsidRPr="008B4349" w:rsidRDefault="00523677" w:rsidP="00C5240A">
      <w:pPr>
        <w:pStyle w:val="ICMEReference"/>
        <w:rPr>
          <w:i/>
        </w:rPr>
      </w:pPr>
      <w:r w:rsidRPr="008B4349">
        <w:t xml:space="preserve">Vandebrouck, F. (2011). Students’ conceptions of functions at the transition between secondary school and university. In M. Pytlak, T. Rowland, &amp; E. Swoboda (Eds.), </w:t>
      </w:r>
      <w:r w:rsidRPr="008B4349">
        <w:rPr>
          <w:i/>
        </w:rPr>
        <w:t>Proceedings of the 7th Conference of European Researchers in Mathematics Education</w:t>
      </w:r>
      <w:r w:rsidRPr="008B4349">
        <w:t xml:space="preserve"> (pp. 2093-2102). Rzeszow, Poland.</w:t>
      </w:r>
    </w:p>
    <w:p w14:paraId="76609BDC" w14:textId="77777777" w:rsidR="00B870EF" w:rsidRPr="008B4349" w:rsidRDefault="00B870EF" w:rsidP="00C5240A">
      <w:pPr>
        <w:pStyle w:val="ICMEReference"/>
      </w:pPr>
      <w:r w:rsidRPr="008B4349">
        <w:t xml:space="preserve">Varsavsky, C. (2010). Chances of success in and engagement with mathematics for students who enter university with a weak mathematics background. </w:t>
      </w:r>
      <w:r w:rsidRPr="008B4349">
        <w:rPr>
          <w:i/>
          <w:iCs/>
        </w:rPr>
        <w:t>International Journal of Mathematical Education in Science and Technology</w:t>
      </w:r>
      <w:r w:rsidRPr="008B4349">
        <w:t xml:space="preserve">, </w:t>
      </w:r>
      <w:r w:rsidRPr="008B4349">
        <w:rPr>
          <w:i/>
          <w:iCs/>
        </w:rPr>
        <w:t>41</w:t>
      </w:r>
      <w:r w:rsidRPr="008B4349">
        <w:t>(8), 1037-1049. doi:10.1080/0020739X.2010.493238</w:t>
      </w:r>
    </w:p>
    <w:p w14:paraId="42C64277" w14:textId="39BCA1C1" w:rsidR="00523677" w:rsidRPr="008B4349" w:rsidRDefault="00523677" w:rsidP="00C5240A">
      <w:pPr>
        <w:pStyle w:val="ICMEReference"/>
      </w:pPr>
      <w:r w:rsidRPr="008B4349">
        <w:t xml:space="preserve">Wawro, M., Sweeney, G., &amp; Rabin, J. (2011). Subspace in linear algebra: investigating students’ concept images and interactions with the formal definition. </w:t>
      </w:r>
      <w:r w:rsidRPr="008B4349">
        <w:rPr>
          <w:i/>
        </w:rPr>
        <w:t>Educational Studies in Mathematics</w:t>
      </w:r>
      <w:r w:rsidRPr="008B4349">
        <w:t xml:space="preserve">. </w:t>
      </w:r>
    </w:p>
    <w:p w14:paraId="4AF0AAA5" w14:textId="77777777" w:rsidR="00523677" w:rsidRPr="008B4349" w:rsidRDefault="00523677" w:rsidP="00C5240A">
      <w:pPr>
        <w:pStyle w:val="ICMEReference"/>
      </w:pPr>
      <w:r w:rsidRPr="008B4349">
        <w:t xml:space="preserve">Wawro, M., Zandieh, M., Sweeney, G., Larson, C., &amp; Rasmussen, C. (2011). </w:t>
      </w:r>
      <w:r w:rsidRPr="008B4349">
        <w:rPr>
          <w:rStyle w:val="nfase"/>
          <w:i w:val="0"/>
        </w:rPr>
        <w:t>Using the emergent model heuristic to describe the evolution of student reasoning regarding span and linear independence</w:t>
      </w:r>
      <w:r w:rsidRPr="008B4349">
        <w:t xml:space="preserve">. Paper presented at the </w:t>
      </w:r>
      <w:r w:rsidRPr="008B4349">
        <w:rPr>
          <w:i/>
        </w:rPr>
        <w:t>14</w:t>
      </w:r>
      <w:r w:rsidRPr="008B4349">
        <w:rPr>
          <w:i/>
          <w:vertAlign w:val="superscript"/>
        </w:rPr>
        <w:t>th</w:t>
      </w:r>
      <w:r w:rsidRPr="008B4349">
        <w:rPr>
          <w:i/>
        </w:rPr>
        <w:t xml:space="preserve"> Conference on Research in Undergraduate Mathematics Education</w:t>
      </w:r>
      <w:r w:rsidRPr="008B4349">
        <w:t>, Portland, OR.</w:t>
      </w:r>
    </w:p>
    <w:p w14:paraId="09463F25" w14:textId="77777777" w:rsidR="00523677" w:rsidRPr="008B4349" w:rsidRDefault="00523677" w:rsidP="00C5240A">
      <w:pPr>
        <w:pStyle w:val="ICMEReference"/>
        <w:rPr>
          <w:color w:val="000000"/>
        </w:rPr>
      </w:pPr>
      <w:r w:rsidRPr="008B4349">
        <w:t xml:space="preserve">Weber, K., &amp; Mejia-Ramos, J. P. (2011). Why and how mathematicians read proofs: An exploratory study. </w:t>
      </w:r>
      <w:r w:rsidRPr="008B4349">
        <w:rPr>
          <w:i/>
        </w:rPr>
        <w:t>Educational Studies in Mathematics</w:t>
      </w:r>
      <w:r w:rsidRPr="008B4349">
        <w:t>, DOI 10.1007/s10649-010-9292-z.</w:t>
      </w:r>
    </w:p>
    <w:p w14:paraId="4DBFEE3F" w14:textId="2798BD05" w:rsidR="00523677" w:rsidRDefault="00523677" w:rsidP="00C5240A">
      <w:pPr>
        <w:pStyle w:val="ICMEReference"/>
      </w:pPr>
      <w:r w:rsidRPr="008B4349">
        <w:t>Winsløw</w:t>
      </w:r>
      <w:r w:rsidR="00B35D58" w:rsidRPr="008B4349">
        <w:t>,</w:t>
      </w:r>
      <w:r w:rsidRPr="008B4349">
        <w:t xml:space="preserve"> C. (2008). Transformer la théorie en tâches: La transition du concret à l’abstrait en analyse réelle (Turning theory into tasks: Transition from concrete to abstract in calculus). In </w:t>
      </w:r>
      <w:r w:rsidR="00203138" w:rsidRPr="008B4349">
        <w:t>A. Rouchier, et al. (Eds.),</w:t>
      </w:r>
      <w:r w:rsidRPr="008B4349">
        <w:t xml:space="preserve"> </w:t>
      </w:r>
      <w:r w:rsidRPr="008B4349">
        <w:rPr>
          <w:i/>
        </w:rPr>
        <w:t>Actes de la XIIIième école d’été de didactique des mathématiques.</w:t>
      </w:r>
      <w:r w:rsidRPr="008B4349">
        <w:t xml:space="preserve"> Grenobl</w:t>
      </w:r>
      <w:r w:rsidR="00203138" w:rsidRPr="008B4349">
        <w:t>e: La Pensée Sauvage</w:t>
      </w:r>
      <w:r w:rsidRPr="008B4349">
        <w:t>.</w:t>
      </w:r>
    </w:p>
    <w:p w14:paraId="7500C36B" w14:textId="055C6A18" w:rsidR="00E41B74" w:rsidRPr="00C5240A" w:rsidRDefault="00E41B74" w:rsidP="00C5240A">
      <w:pPr>
        <w:pStyle w:val="ICMEReference"/>
        <w:rPr>
          <w:b/>
          <w:bCs/>
        </w:rPr>
      </w:pPr>
      <w:r w:rsidRPr="00C5240A">
        <w:t xml:space="preserve">Winsløw, C. (2010). </w:t>
      </w:r>
      <w:r w:rsidR="00C5240A" w:rsidRPr="00C5240A">
        <w:rPr>
          <w:bCs/>
        </w:rPr>
        <w:t xml:space="preserve">Comparing theoretical frameworks in didactics of mathematics: The GOA-model. </w:t>
      </w:r>
      <w:r w:rsidRPr="00C5240A">
        <w:rPr>
          <w:bCs/>
        </w:rPr>
        <w:t>In</w:t>
      </w:r>
      <w:r w:rsidRPr="00C5240A">
        <w:rPr>
          <w:b/>
          <w:bCs/>
        </w:rPr>
        <w:t xml:space="preserve"> </w:t>
      </w:r>
      <w:r w:rsidRPr="00C5240A">
        <w:t>V. Durand-Guerrier, S. Soury-Lavergne &amp; F. Arzarello (Eds.)</w:t>
      </w:r>
      <w:r w:rsidRPr="00C5240A">
        <w:rPr>
          <w:color w:val="213B71"/>
        </w:rPr>
        <w:t xml:space="preserve"> </w:t>
      </w:r>
      <w:r w:rsidRPr="00C5240A">
        <w:rPr>
          <w:i/>
        </w:rPr>
        <w:t>Proceedings of the Sixth Congress of the European Society for Research in Mathematics Education</w:t>
      </w:r>
      <w:r w:rsidR="00C5240A" w:rsidRPr="00C5240A">
        <w:t xml:space="preserve"> (pp. 1675-1684</w:t>
      </w:r>
      <w:r w:rsidR="00C5240A" w:rsidRPr="00C5240A">
        <w:rPr>
          <w:color w:val="auto"/>
        </w:rPr>
        <w:t>)</w:t>
      </w:r>
      <w:r w:rsidRPr="00C5240A">
        <w:rPr>
          <w:color w:val="auto"/>
        </w:rPr>
        <w:t xml:space="preserve">, </w:t>
      </w:r>
      <w:r w:rsidR="00C5240A" w:rsidRPr="00C5240A">
        <w:rPr>
          <w:color w:val="auto"/>
        </w:rPr>
        <w:t xml:space="preserve">CERME: </w:t>
      </w:r>
      <w:r w:rsidRPr="00C5240A">
        <w:rPr>
          <w:color w:val="auto"/>
        </w:rPr>
        <w:t>Lyon France.</w:t>
      </w:r>
    </w:p>
    <w:p w14:paraId="5723C944" w14:textId="0CD875F9" w:rsidR="00523677" w:rsidRPr="008B4349" w:rsidRDefault="00523677" w:rsidP="00C5240A">
      <w:pPr>
        <w:pStyle w:val="ICMEReference"/>
      </w:pPr>
      <w:r w:rsidRPr="008B4349">
        <w:rPr>
          <w:bCs/>
          <w:lang w:eastAsia="zh-CN"/>
        </w:rPr>
        <w:t>Xie</w:t>
      </w:r>
      <w:r w:rsidR="00203138" w:rsidRPr="008B4349">
        <w:rPr>
          <w:bCs/>
          <w:lang w:eastAsia="zh-CN"/>
        </w:rPr>
        <w:t>,</w:t>
      </w:r>
      <w:r w:rsidRPr="008B4349">
        <w:rPr>
          <w:bCs/>
          <w:lang w:eastAsia="zh-CN"/>
        </w:rPr>
        <w:t xml:space="preserve"> J. (2010). Mathematical </w:t>
      </w:r>
      <w:r w:rsidR="00203138" w:rsidRPr="008B4349">
        <w:rPr>
          <w:bCs/>
          <w:lang w:eastAsia="zh-CN"/>
        </w:rPr>
        <w:t>modeling courses and related activities in China universities. In</w:t>
      </w:r>
      <w:r w:rsidRPr="008B4349">
        <w:rPr>
          <w:bCs/>
          <w:lang w:eastAsia="zh-CN"/>
        </w:rPr>
        <w:t xml:space="preserve"> </w:t>
      </w:r>
      <w:r w:rsidR="00203138" w:rsidRPr="008B4349">
        <w:rPr>
          <w:bCs/>
          <w:lang w:eastAsia="zh-CN"/>
        </w:rPr>
        <w:t xml:space="preserve">A. </w:t>
      </w:r>
      <w:r w:rsidR="00203138" w:rsidRPr="008B4349">
        <w:t>Araújo</w:t>
      </w:r>
      <w:r w:rsidRPr="008B4349">
        <w:t xml:space="preserve">, </w:t>
      </w:r>
      <w:r w:rsidR="00203138" w:rsidRPr="008B4349">
        <w:t>A. Fernandes</w:t>
      </w:r>
      <w:r w:rsidRPr="008B4349">
        <w:t xml:space="preserve">, </w:t>
      </w:r>
      <w:r w:rsidR="00203138" w:rsidRPr="008B4349">
        <w:t>A. Azevedo</w:t>
      </w:r>
      <w:r w:rsidRPr="008B4349">
        <w:t xml:space="preserve">, </w:t>
      </w:r>
      <w:r w:rsidR="00203138" w:rsidRPr="008B4349">
        <w:t xml:space="preserve">&amp; J. F. Rodrigues </w:t>
      </w:r>
      <w:r w:rsidRPr="008B4349">
        <w:t xml:space="preserve">(Eds.). </w:t>
      </w:r>
      <w:r w:rsidRPr="008B4349">
        <w:rPr>
          <w:i/>
        </w:rPr>
        <w:t>EIMI 2010 Conference (educational interfaces between mathematics and industry) Proceedings.</w:t>
      </w:r>
      <w:r w:rsidRPr="008B4349">
        <w:t xml:space="preserve"> </w:t>
      </w:r>
      <w:r w:rsidRPr="008B4349">
        <w:rPr>
          <w:i/>
        </w:rPr>
        <w:t>Comap Inc</w:t>
      </w:r>
      <w:r w:rsidRPr="008B4349">
        <w:t>., Bedford, MA, USA.</w:t>
      </w:r>
    </w:p>
    <w:p w14:paraId="2E515873" w14:textId="77777777" w:rsidR="00523677" w:rsidRPr="008B4349" w:rsidRDefault="00523677" w:rsidP="00C5240A">
      <w:pPr>
        <w:pStyle w:val="ICMEReference"/>
      </w:pPr>
      <w:r w:rsidRPr="008B4349">
        <w:lastRenderedPageBreak/>
        <w:t xml:space="preserve">Zazkis, R., &amp; Chernoff, E. J. (2008). What makes a counterexample exemplary? </w:t>
      </w:r>
      <w:r w:rsidRPr="008B4349">
        <w:rPr>
          <w:i/>
          <w:color w:val="131313"/>
        </w:rPr>
        <w:t xml:space="preserve">Educational Studies in Mathematics, </w:t>
      </w:r>
      <w:r w:rsidRPr="008B4349">
        <w:rPr>
          <w:i/>
        </w:rPr>
        <w:t>68</w:t>
      </w:r>
      <w:r w:rsidRPr="008B4349">
        <w:t>, 195–208.</w:t>
      </w:r>
    </w:p>
    <w:p w14:paraId="75791631" w14:textId="77777777" w:rsidR="009654A0" w:rsidRPr="00482ED4" w:rsidRDefault="009654A0" w:rsidP="00B656B1">
      <w:pPr>
        <w:rPr>
          <w:lang w:eastAsia="ja-JP"/>
        </w:rPr>
      </w:pPr>
    </w:p>
    <w:p w14:paraId="68AA39BB" w14:textId="2CD9C7D4" w:rsidR="00B656B1" w:rsidRPr="00390E33" w:rsidRDefault="00B656B1" w:rsidP="00B656B1">
      <w:pPr>
        <w:rPr>
          <w:sz w:val="26"/>
          <w:szCs w:val="26"/>
        </w:rPr>
      </w:pPr>
    </w:p>
    <w:sectPr w:rsidR="00B656B1" w:rsidRPr="00390E33" w:rsidSect="000C4B97">
      <w:headerReference w:type="even" r:id="rId21"/>
      <w:headerReference w:type="default" r:id="rId22"/>
      <w:footerReference w:type="even" r:id="rId23"/>
      <w:footerReference w:type="default" r:id="rId24"/>
      <w:headerReference w:type="first" r:id="rId25"/>
      <w:footerReference w:type="first" r:id="rId26"/>
      <w:pgSz w:w="11899" w:h="16838" w:code="9"/>
      <w:pgMar w:top="1418" w:right="1134" w:bottom="1418" w:left="1134" w:header="850" w:footer="850" w:gutter="0"/>
      <w:cols w:space="709"/>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99780" w14:textId="77777777" w:rsidR="00030BBC" w:rsidRDefault="00030BBC" w:rsidP="00B656B1">
      <w:r>
        <w:separator/>
      </w:r>
    </w:p>
  </w:endnote>
  <w:endnote w:type="continuationSeparator" w:id="0">
    <w:p w14:paraId="6BF41942" w14:textId="77777777" w:rsidR="00030BBC" w:rsidRDefault="00030BBC" w:rsidP="00B6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algun Gothic">
    <w:altName w:val="Arial Unicode MS"/>
    <w:charset w:val="81"/>
    <w:family w:val="modern"/>
    <w:pitch w:val="variable"/>
    <w:sig w:usb0="900002AF" w:usb1="09D77CFB" w:usb2="00000012" w:usb3="00000000" w:csb0="00080001" w:csb1="00000000"/>
  </w:font>
  <w:font w:name="Tahoma">
    <w:panose1 w:val="020B0604030504040204"/>
    <w:charset w:val="00"/>
    <w:family w:val="swiss"/>
    <w:pitch w:val="variable"/>
    <w:sig w:usb0="61002A87" w:usb1="80000000" w:usb2="00000008"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Grande">
    <w:charset w:val="00"/>
    <w:family w:val="auto"/>
    <w:pitch w:val="variable"/>
    <w:sig w:usb0="E1000AEF" w:usb1="5000A1FF" w:usb2="00000000" w:usb3="00000000" w:csb0="000001BF" w:csb1="00000000"/>
  </w:font>
  <w:font w:name="Giovanni Black">
    <w:altName w:val="Times New Roman"/>
    <w:panose1 w:val="00000000000000000000"/>
    <w:charset w:val="00"/>
    <w:family w:val="roman"/>
    <w:notTrueType/>
    <w:pitch w:val="default"/>
    <w:sig w:usb0="00000003" w:usb1="00000000" w:usb2="00000000" w:usb3="00000000" w:csb0="00000001" w:csb1="00000000"/>
  </w:font>
  <w:font w:name="Palatino">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4D"/>
    <w:family w:val="swiss"/>
    <w:notTrueType/>
    <w:pitch w:val="default"/>
    <w:sig w:usb0="03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E58C4" w14:textId="77777777" w:rsidR="002C3284" w:rsidRDefault="002C3284" w:rsidP="00B656B1">
    <w:pPr>
      <w:pStyle w:val="Rodap"/>
    </w:pPr>
    <w:r>
      <w:t xml:space="preserve"> </w:t>
    </w:r>
  </w:p>
  <w:p w14:paraId="048043C7" w14:textId="77777777" w:rsidR="002C3284" w:rsidRPr="0070654A" w:rsidRDefault="002C3284" w:rsidP="00B656B1">
    <w:pPr>
      <w:pStyle w:val="Rodap"/>
      <w:rPr>
        <w:lang w:eastAsia="zh-TW"/>
      </w:rPr>
    </w:pPr>
    <w:r w:rsidRPr="0070654A">
      <w:t>A</w:t>
    </w:r>
    <w:r w:rsidRPr="0070654A">
      <w:rPr>
        <w:rFonts w:hint="eastAsia"/>
      </w:rPr>
      <w:t>bcde</w:t>
    </w:r>
    <w:r>
      <w:rPr>
        <w:rFonts w:hint="eastAsia"/>
      </w:rPr>
      <w:t>+3</w:t>
    </w:r>
    <w:r w:rsidRPr="0070654A">
      <w:tab/>
    </w:r>
    <w:r w:rsidRPr="0070654A">
      <w:rPr>
        <w:rFonts w:hint="eastAsia"/>
      </w:rPr>
      <w:t>ICME-12,</w:t>
    </w:r>
    <w:r w:rsidRPr="0070654A">
      <w:t xml:space="preserve"> 201</w:t>
    </w:r>
    <w:r w:rsidRPr="0070654A">
      <w:rPr>
        <w:rFonts w:hint="eastAsia"/>
        <w:lang w:eastAsia="zh-TW"/>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B760D" w14:textId="77777777" w:rsidR="002C3284" w:rsidRDefault="002C3284" w:rsidP="00B656B1">
    <w:pPr>
      <w:pStyle w:val="Rodap"/>
    </w:pPr>
  </w:p>
  <w:p w14:paraId="29DC8566" w14:textId="77777777" w:rsidR="002C3284" w:rsidRPr="0070654A" w:rsidRDefault="002C3284" w:rsidP="00B656B1">
    <w:pPr>
      <w:pStyle w:val="Rodap"/>
    </w:pPr>
    <w:r w:rsidRPr="0070654A">
      <w:rPr>
        <w:rFonts w:hint="eastAsia"/>
      </w:rPr>
      <w:t>ICME-12,</w:t>
    </w:r>
    <w:r w:rsidRPr="0070654A">
      <w:t xml:space="preserve"> 201</w:t>
    </w:r>
    <w:r w:rsidRPr="0070654A">
      <w:rPr>
        <w:rFonts w:hint="eastAsia"/>
        <w:lang w:eastAsia="zh-TW"/>
      </w:rPr>
      <w:t>2</w:t>
    </w:r>
    <w:r w:rsidRPr="0070654A">
      <w:tab/>
    </w:r>
    <w:r w:rsidRPr="0070654A">
      <w:rPr>
        <w:rFonts w:hint="eastAsia"/>
      </w:rPr>
      <w:t>abcde</w:t>
    </w:r>
    <w:r>
      <w:rPr>
        <w:rFonts w:hint="eastAsia"/>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909C0" w14:textId="77777777" w:rsidR="002C3284" w:rsidRDefault="002C3284" w:rsidP="00B656B1">
    <w:pPr>
      <w:pStyle w:val="Rodap"/>
    </w:pPr>
  </w:p>
  <w:p w14:paraId="32E7CAF7" w14:textId="77777777" w:rsidR="002C3284" w:rsidRPr="0070654A" w:rsidRDefault="002C3284" w:rsidP="00B656B1">
    <w:pPr>
      <w:pStyle w:val="Rodap"/>
    </w:pPr>
    <w:proofErr w:type="gramStart"/>
    <w:r>
      <w:rPr>
        <w:rFonts w:hint="eastAsia"/>
      </w:rPr>
      <w:t>abcde</w:t>
    </w:r>
    <w:proofErr w:type="gramEnd"/>
  </w:p>
  <w:p w14:paraId="016232C3" w14:textId="77777777" w:rsidR="002C3284" w:rsidRPr="007D3DCB" w:rsidRDefault="002C3284" w:rsidP="00B656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52582" w14:textId="77777777" w:rsidR="00030BBC" w:rsidRDefault="00030BBC" w:rsidP="00B656B1">
      <w:r>
        <w:separator/>
      </w:r>
    </w:p>
  </w:footnote>
  <w:footnote w:type="continuationSeparator" w:id="0">
    <w:p w14:paraId="1B045546" w14:textId="77777777" w:rsidR="00030BBC" w:rsidRDefault="00030BBC" w:rsidP="00B656B1">
      <w:r>
        <w:continuationSeparator/>
      </w:r>
    </w:p>
  </w:footnote>
  <w:footnote w:id="1">
    <w:p w14:paraId="74BEFA9C" w14:textId="0D4FA2FE" w:rsidR="002C3284" w:rsidRDefault="002C3284">
      <w:pPr>
        <w:pStyle w:val="Textodenotaderodap"/>
      </w:pPr>
      <w:r>
        <w:rPr>
          <w:rStyle w:val="Refdenotaderodap"/>
        </w:rPr>
        <w:footnoteRef/>
      </w:r>
      <w:r>
        <w:t xml:space="preserve"> A longer version of this report is available from </w:t>
      </w:r>
      <w:hyperlink r:id="rId1" w:history="1">
        <w:r w:rsidRPr="008604B4">
          <w:rPr>
            <w:rStyle w:val="Hyperlink"/>
            <w:u w:val="none"/>
          </w:rPr>
          <w:t>http://faculty.math.tsinghua.edu.cn/~jxie/papers/icme2012_ST4.pdf</w:t>
        </w:r>
      </w:hyperlink>
      <w:r>
        <w:t xml:space="preserve"> or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A1E13" w14:textId="7D92BD8F" w:rsidR="002C3284" w:rsidRPr="00F93634" w:rsidRDefault="002C3284" w:rsidP="00B656B1">
    <w:r w:rsidRPr="00F93634">
      <w:t>Thomas, de Freitas Druck,</w:t>
    </w:r>
    <w:r>
      <w:t xml:space="preserve"> Huillet, Ju, Nardi, Rasmussen and </w:t>
    </w:r>
    <w:r w:rsidRPr="00F93634">
      <w:t>Xie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0C17E" w14:textId="6D22F6F4" w:rsidR="002C3284" w:rsidRPr="00F93634" w:rsidRDefault="002C3284" w:rsidP="00B656B1">
    <w:r w:rsidRPr="00F93634">
      <w:t>Thomas, de Freitas Druck, Huillet, Ju, Nardi, Rasmussen, Xie</w:t>
    </w:r>
  </w:p>
  <w:p w14:paraId="1F5ACD5C" w14:textId="142DFA87" w:rsidR="002C3284" w:rsidRPr="00F64A45" w:rsidRDefault="002C3284" w:rsidP="00B656B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5B52D" w14:textId="77777777" w:rsidR="002C3284" w:rsidRPr="009F52CA" w:rsidRDefault="002C3284" w:rsidP="00B656B1">
    <w:pPr>
      <w:pStyle w:val="Cabealho"/>
    </w:pPr>
    <w:r w:rsidRPr="009F52CA">
      <w:t>12</w:t>
    </w:r>
    <w:r w:rsidRPr="009F52CA">
      <w:rPr>
        <w:vertAlign w:val="superscript"/>
      </w:rPr>
      <w:t>th</w:t>
    </w:r>
    <w:r w:rsidRPr="009F52CA">
      <w:t xml:space="preserve"> International Congress on Mathematical Education</w:t>
    </w:r>
  </w:p>
  <w:p w14:paraId="01042424" w14:textId="77777777" w:rsidR="002C3284" w:rsidRPr="009F52CA" w:rsidRDefault="002C3284" w:rsidP="00B656B1">
    <w:pPr>
      <w:pStyle w:val="Cabealho"/>
    </w:pPr>
    <w:r>
      <w:rPr>
        <w:rFonts w:hint="eastAsia"/>
      </w:rPr>
      <w:t>Program Name</w:t>
    </w:r>
    <w:r w:rsidRPr="009F52CA">
      <w:rPr>
        <w:rFonts w:hint="eastAsia"/>
      </w:rPr>
      <w:t xml:space="preserve"> XX-YY-zz (pp. abcde-fghij)</w:t>
    </w:r>
  </w:p>
  <w:p w14:paraId="16EB33AD" w14:textId="175F5C02" w:rsidR="002C3284" w:rsidRPr="007D3DCB" w:rsidRDefault="002C3284" w:rsidP="00B656B1">
    <w:pPr>
      <w:pStyle w:val="Cabealho"/>
    </w:pPr>
    <w:r w:rsidRPr="009F52CA">
      <w:t>8 July – 15 July</w:t>
    </w:r>
    <w:r w:rsidRPr="009F52CA">
      <w:rPr>
        <w:rFonts w:hint="eastAsia"/>
      </w:rPr>
      <w:t xml:space="preserve">, </w:t>
    </w:r>
    <w:r w:rsidRPr="009F52CA">
      <w:t>2012, COEX, Seoul, Korea</w:t>
    </w:r>
    <w:r>
      <w:rPr>
        <w:rFonts w:hint="eastAsia"/>
      </w:rPr>
      <w:t xml:space="preserve"> </w:t>
    </w:r>
  </w:p>
  <w:p w14:paraId="582A28F9" w14:textId="77777777" w:rsidR="002C3284" w:rsidRPr="00C21605" w:rsidRDefault="002C3284" w:rsidP="00B656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496F05"/>
    <w:multiLevelType w:val="hybridMultilevel"/>
    <w:tmpl w:val="C0E22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C55D76"/>
    <w:multiLevelType w:val="hybridMultilevel"/>
    <w:tmpl w:val="82AE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26393B"/>
    <w:multiLevelType w:val="hybridMultilevel"/>
    <w:tmpl w:val="C41E65AA"/>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BE33691"/>
    <w:multiLevelType w:val="multilevel"/>
    <w:tmpl w:val="8DA42E28"/>
    <w:lvl w:ilvl="0">
      <w:start w:val="1"/>
      <w:numFmt w:val="decimal"/>
      <w:lvlText w:val="%1"/>
      <w:lvlJc w:val="left"/>
      <w:pPr>
        <w:tabs>
          <w:tab w:val="num" w:pos="864"/>
        </w:tabs>
        <w:ind w:left="864" w:hanging="580"/>
      </w:pPr>
      <w:rPr>
        <w:rFonts w:hint="default"/>
      </w:rPr>
    </w:lvl>
    <w:lvl w:ilvl="1">
      <w:start w:val="1"/>
      <w:numFmt w:val="lowerLetter"/>
      <w:lvlText w:val="%2."/>
      <w:lvlJc w:val="left"/>
      <w:pPr>
        <w:tabs>
          <w:tab w:val="num" w:pos="1364"/>
        </w:tabs>
        <w:ind w:left="1364" w:hanging="360"/>
      </w:pPr>
    </w:lvl>
    <w:lvl w:ilvl="2">
      <w:start w:val="1"/>
      <w:numFmt w:val="lowerRoman"/>
      <w:pStyle w:val="Heading31"/>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pStyle w:val="Ttulo6"/>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
    <w:nsid w:val="12255315"/>
    <w:multiLevelType w:val="multilevel"/>
    <w:tmpl w:val="490A6F70"/>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6">
    <w:nsid w:val="132D4DA2"/>
    <w:multiLevelType w:val="hybridMultilevel"/>
    <w:tmpl w:val="4386EB00"/>
    <w:lvl w:ilvl="0" w:tplc="326A90E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50A6215"/>
    <w:multiLevelType w:val="hybridMultilevel"/>
    <w:tmpl w:val="045E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DA6B5F"/>
    <w:multiLevelType w:val="hybridMultilevel"/>
    <w:tmpl w:val="EF9A8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A50EC0"/>
    <w:multiLevelType w:val="hybridMultilevel"/>
    <w:tmpl w:val="1C6251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31459D"/>
    <w:multiLevelType w:val="multilevel"/>
    <w:tmpl w:val="F2B47A22"/>
    <w:lvl w:ilvl="0">
      <w:start w:val="1"/>
      <w:numFmt w:val="bullet"/>
      <w:pStyle w:val="PMEBullet"/>
      <w:lvlText w:val=""/>
      <w:lvlJc w:val="left"/>
      <w:pPr>
        <w:tabs>
          <w:tab w:val="num" w:pos="1145"/>
        </w:tabs>
        <w:ind w:left="1145" w:hanging="360"/>
      </w:pPr>
      <w:rPr>
        <w:rFonts w:ascii="Symbol" w:eastAsia="Times New Roman" w:hAnsi="Symbol" w:hint="default"/>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cs="Wingdings" w:hint="default"/>
      </w:rPr>
    </w:lvl>
    <w:lvl w:ilvl="3">
      <w:start w:val="1"/>
      <w:numFmt w:val="bullet"/>
      <w:lvlText w:val=""/>
      <w:lvlJc w:val="left"/>
      <w:pPr>
        <w:tabs>
          <w:tab w:val="num" w:pos="3305"/>
        </w:tabs>
        <w:ind w:left="3305" w:hanging="360"/>
      </w:pPr>
      <w:rPr>
        <w:rFonts w:ascii="Symbol" w:eastAsia="Times New Roman"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cs="Wingdings" w:hint="default"/>
      </w:rPr>
    </w:lvl>
    <w:lvl w:ilvl="6">
      <w:start w:val="1"/>
      <w:numFmt w:val="bullet"/>
      <w:lvlText w:val=""/>
      <w:lvlJc w:val="left"/>
      <w:pPr>
        <w:tabs>
          <w:tab w:val="num" w:pos="5465"/>
        </w:tabs>
        <w:ind w:left="5465" w:hanging="360"/>
      </w:pPr>
      <w:rPr>
        <w:rFonts w:ascii="Symbol" w:eastAsia="Times New Roman"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cs="Wingdings" w:hint="default"/>
      </w:rPr>
    </w:lvl>
  </w:abstractNum>
  <w:abstractNum w:abstractNumId="11">
    <w:nsid w:val="30394037"/>
    <w:multiLevelType w:val="hybridMultilevel"/>
    <w:tmpl w:val="9684C98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nsid w:val="31DA2A06"/>
    <w:multiLevelType w:val="hybridMultilevel"/>
    <w:tmpl w:val="D0DAD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444FAD"/>
    <w:multiLevelType w:val="hybridMultilevel"/>
    <w:tmpl w:val="E020E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6D2F06"/>
    <w:multiLevelType w:val="hybridMultilevel"/>
    <w:tmpl w:val="5A90DF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3CD46F0"/>
    <w:multiLevelType w:val="multilevel"/>
    <w:tmpl w:val="85FA535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44441B21"/>
    <w:multiLevelType w:val="hybridMultilevel"/>
    <w:tmpl w:val="0CB4A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254B92"/>
    <w:multiLevelType w:val="multilevel"/>
    <w:tmpl w:val="DB5AA8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E8C0BFD"/>
    <w:multiLevelType w:val="hybridMultilevel"/>
    <w:tmpl w:val="DC0434CE"/>
    <w:lvl w:ilvl="0" w:tplc="206C34E6">
      <w:start w:val="3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nsid w:val="550A3664"/>
    <w:multiLevelType w:val="hybridMultilevel"/>
    <w:tmpl w:val="CC6E5180"/>
    <w:lvl w:ilvl="0" w:tplc="326A90E2">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5F856E0"/>
    <w:multiLevelType w:val="multilevel"/>
    <w:tmpl w:val="2448639C"/>
    <w:lvl w:ilvl="0">
      <w:start w:val="1"/>
      <w:numFmt w:val="decimal"/>
      <w:lvlText w:val="%1."/>
      <w:lvlJc w:val="left"/>
      <w:pPr>
        <w:tabs>
          <w:tab w:val="num" w:pos="1008"/>
        </w:tabs>
        <w:ind w:left="1008" w:hanging="360"/>
      </w:pPr>
    </w:lvl>
    <w:lvl w:ilvl="1">
      <w:start w:val="1"/>
      <w:numFmt w:val="lowerLetter"/>
      <w:lvlText w:val="%2."/>
      <w:lvlJc w:val="left"/>
      <w:pPr>
        <w:tabs>
          <w:tab w:val="num" w:pos="1728"/>
        </w:tabs>
        <w:ind w:left="1728" w:hanging="360"/>
      </w:pPr>
    </w:lvl>
    <w:lvl w:ilvl="2">
      <w:start w:val="1"/>
      <w:numFmt w:val="lowerRoman"/>
      <w:lvlText w:val="%3."/>
      <w:lvlJc w:val="right"/>
      <w:pPr>
        <w:tabs>
          <w:tab w:val="num" w:pos="2448"/>
        </w:tabs>
        <w:ind w:left="2448" w:hanging="180"/>
      </w:pPr>
    </w:lvl>
    <w:lvl w:ilvl="3">
      <w:start w:val="1"/>
      <w:numFmt w:val="decimal"/>
      <w:lvlText w:val="%4."/>
      <w:lvlJc w:val="left"/>
      <w:pPr>
        <w:tabs>
          <w:tab w:val="num" w:pos="3168"/>
        </w:tabs>
        <w:ind w:left="3168" w:hanging="360"/>
      </w:pPr>
    </w:lvl>
    <w:lvl w:ilvl="4">
      <w:start w:val="1"/>
      <w:numFmt w:val="lowerLetter"/>
      <w:lvlText w:val="%5."/>
      <w:lvlJc w:val="left"/>
      <w:pPr>
        <w:tabs>
          <w:tab w:val="num" w:pos="3888"/>
        </w:tabs>
        <w:ind w:left="3888" w:hanging="360"/>
      </w:pPr>
    </w:lvl>
    <w:lvl w:ilvl="5">
      <w:start w:val="1"/>
      <w:numFmt w:val="lowerRoman"/>
      <w:lvlText w:val="%6."/>
      <w:lvlJc w:val="right"/>
      <w:pPr>
        <w:tabs>
          <w:tab w:val="num" w:pos="4608"/>
        </w:tabs>
        <w:ind w:left="4608" w:hanging="180"/>
      </w:pPr>
    </w:lvl>
    <w:lvl w:ilvl="6">
      <w:start w:val="1"/>
      <w:numFmt w:val="decimal"/>
      <w:lvlText w:val="%7."/>
      <w:lvlJc w:val="left"/>
      <w:pPr>
        <w:tabs>
          <w:tab w:val="num" w:pos="5328"/>
        </w:tabs>
        <w:ind w:left="5328" w:hanging="360"/>
      </w:pPr>
    </w:lvl>
    <w:lvl w:ilvl="7">
      <w:start w:val="1"/>
      <w:numFmt w:val="lowerLetter"/>
      <w:lvlText w:val="%8."/>
      <w:lvlJc w:val="left"/>
      <w:pPr>
        <w:tabs>
          <w:tab w:val="num" w:pos="6048"/>
        </w:tabs>
        <w:ind w:left="6048" w:hanging="360"/>
      </w:pPr>
    </w:lvl>
    <w:lvl w:ilvl="8">
      <w:start w:val="1"/>
      <w:numFmt w:val="lowerRoman"/>
      <w:lvlText w:val="%9."/>
      <w:lvlJc w:val="right"/>
      <w:pPr>
        <w:tabs>
          <w:tab w:val="num" w:pos="6768"/>
        </w:tabs>
        <w:ind w:left="6768" w:hanging="180"/>
      </w:pPr>
    </w:lvl>
  </w:abstractNum>
  <w:abstractNum w:abstractNumId="21">
    <w:nsid w:val="5E140DB4"/>
    <w:multiLevelType w:val="hybridMultilevel"/>
    <w:tmpl w:val="5E140B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5DC6358"/>
    <w:multiLevelType w:val="hybridMultilevel"/>
    <w:tmpl w:val="F8684A02"/>
    <w:lvl w:ilvl="0" w:tplc="C226B1DC">
      <w:start w:val="1"/>
      <w:numFmt w:val="upperLetter"/>
      <w:lvlText w:val="%1)"/>
      <w:lvlJc w:val="left"/>
      <w:pPr>
        <w:tabs>
          <w:tab w:val="num" w:pos="540"/>
        </w:tabs>
        <w:ind w:left="540" w:hanging="360"/>
      </w:pPr>
      <w:rPr>
        <w:rFonts w:hint="default"/>
      </w:rPr>
    </w:lvl>
    <w:lvl w:ilvl="1" w:tplc="04160019" w:tentative="1">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23">
    <w:nsid w:val="69D67892"/>
    <w:multiLevelType w:val="hybridMultilevel"/>
    <w:tmpl w:val="97A64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9F6E9B"/>
    <w:multiLevelType w:val="hybridMultilevel"/>
    <w:tmpl w:val="45EA7BC0"/>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45D5C9D"/>
    <w:multiLevelType w:val="hybridMultilevel"/>
    <w:tmpl w:val="89BC842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nsid w:val="7B3903DC"/>
    <w:multiLevelType w:val="hybridMultilevel"/>
    <w:tmpl w:val="85CE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581A8C"/>
    <w:multiLevelType w:val="hybridMultilevel"/>
    <w:tmpl w:val="3FD67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D39559D"/>
    <w:multiLevelType w:val="hybridMultilevel"/>
    <w:tmpl w:val="21B4395E"/>
    <w:lvl w:ilvl="0" w:tplc="38B61FE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4"/>
  </w:num>
  <w:num w:numId="2">
    <w:abstractNumId w:val="5"/>
  </w:num>
  <w:num w:numId="3">
    <w:abstractNumId w:val="20"/>
  </w:num>
  <w:num w:numId="4">
    <w:abstractNumId w:val="10"/>
  </w:num>
  <w:num w:numId="5">
    <w:abstractNumId w:val="21"/>
  </w:num>
  <w:num w:numId="6">
    <w:abstractNumId w:val="13"/>
  </w:num>
  <w:num w:numId="7">
    <w:abstractNumId w:val="26"/>
  </w:num>
  <w:num w:numId="8">
    <w:abstractNumId w:val="0"/>
  </w:num>
  <w:num w:numId="9">
    <w:abstractNumId w:val="22"/>
  </w:num>
  <w:num w:numId="10">
    <w:abstractNumId w:val="19"/>
  </w:num>
  <w:num w:numId="11">
    <w:abstractNumId w:val="15"/>
  </w:num>
  <w:num w:numId="12">
    <w:abstractNumId w:val="17"/>
  </w:num>
  <w:num w:numId="13">
    <w:abstractNumId w:val="6"/>
  </w:num>
  <w:num w:numId="14">
    <w:abstractNumId w:val="28"/>
  </w:num>
  <w:num w:numId="15">
    <w:abstractNumId w:val="24"/>
  </w:num>
  <w:num w:numId="16">
    <w:abstractNumId w:val="25"/>
  </w:num>
  <w:num w:numId="17">
    <w:abstractNumId w:val="14"/>
  </w:num>
  <w:num w:numId="18">
    <w:abstractNumId w:val="11"/>
  </w:num>
  <w:num w:numId="19">
    <w:abstractNumId w:val="9"/>
  </w:num>
  <w:num w:numId="20">
    <w:abstractNumId w:val="2"/>
  </w:num>
  <w:num w:numId="21">
    <w:abstractNumId w:val="1"/>
  </w:num>
  <w:num w:numId="22">
    <w:abstractNumId w:val="27"/>
  </w:num>
  <w:num w:numId="23">
    <w:abstractNumId w:val="12"/>
  </w:num>
  <w:num w:numId="24">
    <w:abstractNumId w:val="3"/>
  </w:num>
  <w:num w:numId="25">
    <w:abstractNumId w:val="23"/>
  </w:num>
  <w:num w:numId="26">
    <w:abstractNumId w:val="18"/>
  </w:num>
  <w:num w:numId="27">
    <w:abstractNumId w:val="8"/>
  </w:num>
  <w:num w:numId="28">
    <w:abstractNumId w:val="1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grammar="clean"/>
  <w:defaultTabStop w:val="720"/>
  <w:hyphenationZone w:val="425"/>
  <w:doNotHyphenateCaps/>
  <w:evenAndOddHeaders/>
  <w:drawingGridHorizontalSpacing w:val="14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975"/>
    <w:rsid w:val="000006BB"/>
    <w:rsid w:val="00007378"/>
    <w:rsid w:val="00013A0C"/>
    <w:rsid w:val="000146B2"/>
    <w:rsid w:val="00016D9D"/>
    <w:rsid w:val="00017EDE"/>
    <w:rsid w:val="000266CB"/>
    <w:rsid w:val="00026AFF"/>
    <w:rsid w:val="00030BBC"/>
    <w:rsid w:val="00031661"/>
    <w:rsid w:val="00032B78"/>
    <w:rsid w:val="00034120"/>
    <w:rsid w:val="00037F81"/>
    <w:rsid w:val="000534FD"/>
    <w:rsid w:val="00063A70"/>
    <w:rsid w:val="00065DB6"/>
    <w:rsid w:val="00066B05"/>
    <w:rsid w:val="00066B33"/>
    <w:rsid w:val="00067847"/>
    <w:rsid w:val="00067A66"/>
    <w:rsid w:val="00067AC9"/>
    <w:rsid w:val="00071888"/>
    <w:rsid w:val="00071B6C"/>
    <w:rsid w:val="00071FB2"/>
    <w:rsid w:val="000720CF"/>
    <w:rsid w:val="00076B5A"/>
    <w:rsid w:val="000804D6"/>
    <w:rsid w:val="00080B9E"/>
    <w:rsid w:val="00086833"/>
    <w:rsid w:val="000870C4"/>
    <w:rsid w:val="00095081"/>
    <w:rsid w:val="000956F9"/>
    <w:rsid w:val="00097975"/>
    <w:rsid w:val="000A475B"/>
    <w:rsid w:val="000A5C7F"/>
    <w:rsid w:val="000A628B"/>
    <w:rsid w:val="000B1D63"/>
    <w:rsid w:val="000B42EB"/>
    <w:rsid w:val="000B56FD"/>
    <w:rsid w:val="000C4B97"/>
    <w:rsid w:val="000C56E9"/>
    <w:rsid w:val="000C6F9A"/>
    <w:rsid w:val="000D36F4"/>
    <w:rsid w:val="000D40A7"/>
    <w:rsid w:val="000D527E"/>
    <w:rsid w:val="000D529E"/>
    <w:rsid w:val="000E0FBF"/>
    <w:rsid w:val="000E1641"/>
    <w:rsid w:val="000E5563"/>
    <w:rsid w:val="000E7E28"/>
    <w:rsid w:val="000F49B0"/>
    <w:rsid w:val="000F67FA"/>
    <w:rsid w:val="0010177F"/>
    <w:rsid w:val="00104E88"/>
    <w:rsid w:val="0010557F"/>
    <w:rsid w:val="00106214"/>
    <w:rsid w:val="00106F83"/>
    <w:rsid w:val="0011003A"/>
    <w:rsid w:val="00110160"/>
    <w:rsid w:val="00112CC0"/>
    <w:rsid w:val="001170EB"/>
    <w:rsid w:val="00117CBE"/>
    <w:rsid w:val="001202F7"/>
    <w:rsid w:val="0012198C"/>
    <w:rsid w:val="00122A6F"/>
    <w:rsid w:val="001232A6"/>
    <w:rsid w:val="001237A9"/>
    <w:rsid w:val="0013147F"/>
    <w:rsid w:val="001341F5"/>
    <w:rsid w:val="00134DCC"/>
    <w:rsid w:val="00135B15"/>
    <w:rsid w:val="00136069"/>
    <w:rsid w:val="00136090"/>
    <w:rsid w:val="001400D4"/>
    <w:rsid w:val="001430E2"/>
    <w:rsid w:val="00146495"/>
    <w:rsid w:val="001468A8"/>
    <w:rsid w:val="001500C3"/>
    <w:rsid w:val="001539B4"/>
    <w:rsid w:val="00154CB9"/>
    <w:rsid w:val="00157514"/>
    <w:rsid w:val="00165D24"/>
    <w:rsid w:val="001660D0"/>
    <w:rsid w:val="0016763B"/>
    <w:rsid w:val="00167D55"/>
    <w:rsid w:val="00170203"/>
    <w:rsid w:val="00170D43"/>
    <w:rsid w:val="00173A1B"/>
    <w:rsid w:val="00173BE7"/>
    <w:rsid w:val="0017426F"/>
    <w:rsid w:val="00177CD0"/>
    <w:rsid w:val="00182656"/>
    <w:rsid w:val="00185FD7"/>
    <w:rsid w:val="001912EC"/>
    <w:rsid w:val="001920C4"/>
    <w:rsid w:val="00192CC2"/>
    <w:rsid w:val="00194F7F"/>
    <w:rsid w:val="001A1E73"/>
    <w:rsid w:val="001A22A9"/>
    <w:rsid w:val="001A4406"/>
    <w:rsid w:val="001A612B"/>
    <w:rsid w:val="001B2B70"/>
    <w:rsid w:val="001B3350"/>
    <w:rsid w:val="001B3DFB"/>
    <w:rsid w:val="001B45E2"/>
    <w:rsid w:val="001B5DA3"/>
    <w:rsid w:val="001B7AB0"/>
    <w:rsid w:val="001C15F1"/>
    <w:rsid w:val="001C1F9C"/>
    <w:rsid w:val="001D11DA"/>
    <w:rsid w:val="001D291D"/>
    <w:rsid w:val="001D2930"/>
    <w:rsid w:val="001D4791"/>
    <w:rsid w:val="001E34F6"/>
    <w:rsid w:val="001F185F"/>
    <w:rsid w:val="001F4D9C"/>
    <w:rsid w:val="001F50B9"/>
    <w:rsid w:val="001F5DCA"/>
    <w:rsid w:val="001F5E3D"/>
    <w:rsid w:val="001F7E60"/>
    <w:rsid w:val="0020078E"/>
    <w:rsid w:val="00201144"/>
    <w:rsid w:val="00202561"/>
    <w:rsid w:val="00203138"/>
    <w:rsid w:val="00203B10"/>
    <w:rsid w:val="00203CF3"/>
    <w:rsid w:val="00204FDB"/>
    <w:rsid w:val="0022289C"/>
    <w:rsid w:val="00222B4E"/>
    <w:rsid w:val="0022351A"/>
    <w:rsid w:val="00226CD2"/>
    <w:rsid w:val="002302DB"/>
    <w:rsid w:val="00231609"/>
    <w:rsid w:val="00231DDE"/>
    <w:rsid w:val="002361D4"/>
    <w:rsid w:val="00245D13"/>
    <w:rsid w:val="002501A5"/>
    <w:rsid w:val="00253F7A"/>
    <w:rsid w:val="002570F0"/>
    <w:rsid w:val="002574C1"/>
    <w:rsid w:val="00261E17"/>
    <w:rsid w:val="0026224F"/>
    <w:rsid w:val="00270E2A"/>
    <w:rsid w:val="00272595"/>
    <w:rsid w:val="002836A8"/>
    <w:rsid w:val="00283996"/>
    <w:rsid w:val="002858B1"/>
    <w:rsid w:val="00286D01"/>
    <w:rsid w:val="0029294B"/>
    <w:rsid w:val="00292F1A"/>
    <w:rsid w:val="00295A4D"/>
    <w:rsid w:val="002A13FC"/>
    <w:rsid w:val="002A2798"/>
    <w:rsid w:val="002A57C4"/>
    <w:rsid w:val="002A6B67"/>
    <w:rsid w:val="002B3B08"/>
    <w:rsid w:val="002B4388"/>
    <w:rsid w:val="002B5404"/>
    <w:rsid w:val="002B597C"/>
    <w:rsid w:val="002B6C68"/>
    <w:rsid w:val="002B6F83"/>
    <w:rsid w:val="002C00D6"/>
    <w:rsid w:val="002C3284"/>
    <w:rsid w:val="002C38E1"/>
    <w:rsid w:val="002C3BA8"/>
    <w:rsid w:val="002C4D8F"/>
    <w:rsid w:val="002C66D8"/>
    <w:rsid w:val="002D7128"/>
    <w:rsid w:val="002E5AA2"/>
    <w:rsid w:val="002F1850"/>
    <w:rsid w:val="002F3537"/>
    <w:rsid w:val="002F3977"/>
    <w:rsid w:val="002F6741"/>
    <w:rsid w:val="002F7A76"/>
    <w:rsid w:val="003076B4"/>
    <w:rsid w:val="0031055D"/>
    <w:rsid w:val="003122B9"/>
    <w:rsid w:val="00313747"/>
    <w:rsid w:val="00320A4B"/>
    <w:rsid w:val="00322038"/>
    <w:rsid w:val="00326710"/>
    <w:rsid w:val="00332393"/>
    <w:rsid w:val="00335A2F"/>
    <w:rsid w:val="00340725"/>
    <w:rsid w:val="0034080C"/>
    <w:rsid w:val="00344A51"/>
    <w:rsid w:val="00350F49"/>
    <w:rsid w:val="00352C8B"/>
    <w:rsid w:val="00353214"/>
    <w:rsid w:val="00355B07"/>
    <w:rsid w:val="003572A3"/>
    <w:rsid w:val="00361002"/>
    <w:rsid w:val="0036550F"/>
    <w:rsid w:val="00365B8B"/>
    <w:rsid w:val="0036608F"/>
    <w:rsid w:val="00366831"/>
    <w:rsid w:val="00374278"/>
    <w:rsid w:val="00374444"/>
    <w:rsid w:val="00374EF4"/>
    <w:rsid w:val="00376A14"/>
    <w:rsid w:val="003869AD"/>
    <w:rsid w:val="00390E33"/>
    <w:rsid w:val="003977C8"/>
    <w:rsid w:val="003A404A"/>
    <w:rsid w:val="003A789B"/>
    <w:rsid w:val="003A7E84"/>
    <w:rsid w:val="003B06E8"/>
    <w:rsid w:val="003B23D9"/>
    <w:rsid w:val="003B2F15"/>
    <w:rsid w:val="003B3B61"/>
    <w:rsid w:val="003B44D7"/>
    <w:rsid w:val="003B53C2"/>
    <w:rsid w:val="003B741D"/>
    <w:rsid w:val="003B746F"/>
    <w:rsid w:val="003C0221"/>
    <w:rsid w:val="003C3B68"/>
    <w:rsid w:val="003C4BB5"/>
    <w:rsid w:val="003C5323"/>
    <w:rsid w:val="003C608E"/>
    <w:rsid w:val="003D2558"/>
    <w:rsid w:val="003D640C"/>
    <w:rsid w:val="003D69FD"/>
    <w:rsid w:val="003D7205"/>
    <w:rsid w:val="003E4B03"/>
    <w:rsid w:val="003E56E5"/>
    <w:rsid w:val="003E72B0"/>
    <w:rsid w:val="003E7384"/>
    <w:rsid w:val="003F0D89"/>
    <w:rsid w:val="003F0EE3"/>
    <w:rsid w:val="003F208C"/>
    <w:rsid w:val="003F4B1E"/>
    <w:rsid w:val="0040013D"/>
    <w:rsid w:val="004057C1"/>
    <w:rsid w:val="0040596D"/>
    <w:rsid w:val="00405FCA"/>
    <w:rsid w:val="004100BC"/>
    <w:rsid w:val="0041408F"/>
    <w:rsid w:val="00417A40"/>
    <w:rsid w:val="0042013E"/>
    <w:rsid w:val="0042057E"/>
    <w:rsid w:val="004214D1"/>
    <w:rsid w:val="0042462C"/>
    <w:rsid w:val="00424D38"/>
    <w:rsid w:val="00425B7D"/>
    <w:rsid w:val="0042656A"/>
    <w:rsid w:val="0042771C"/>
    <w:rsid w:val="004279F9"/>
    <w:rsid w:val="00430B78"/>
    <w:rsid w:val="0043100C"/>
    <w:rsid w:val="00433AF8"/>
    <w:rsid w:val="0043430A"/>
    <w:rsid w:val="004428F0"/>
    <w:rsid w:val="00442F9D"/>
    <w:rsid w:val="00443854"/>
    <w:rsid w:val="004522ED"/>
    <w:rsid w:val="004543F7"/>
    <w:rsid w:val="00457C8E"/>
    <w:rsid w:val="00465FDB"/>
    <w:rsid w:val="004712CD"/>
    <w:rsid w:val="0047580F"/>
    <w:rsid w:val="00475BD1"/>
    <w:rsid w:val="00476244"/>
    <w:rsid w:val="0047791B"/>
    <w:rsid w:val="00483291"/>
    <w:rsid w:val="00484E1F"/>
    <w:rsid w:val="00487627"/>
    <w:rsid w:val="00492588"/>
    <w:rsid w:val="00492B9A"/>
    <w:rsid w:val="004A0F6E"/>
    <w:rsid w:val="004A1481"/>
    <w:rsid w:val="004A6C5E"/>
    <w:rsid w:val="004B090D"/>
    <w:rsid w:val="004C07C8"/>
    <w:rsid w:val="004C43D2"/>
    <w:rsid w:val="004C623D"/>
    <w:rsid w:val="004D3172"/>
    <w:rsid w:val="004D31A4"/>
    <w:rsid w:val="004D4851"/>
    <w:rsid w:val="004D6A9D"/>
    <w:rsid w:val="004D7EE0"/>
    <w:rsid w:val="004E0164"/>
    <w:rsid w:val="004E3316"/>
    <w:rsid w:val="004E4379"/>
    <w:rsid w:val="004E6319"/>
    <w:rsid w:val="004E7A2D"/>
    <w:rsid w:val="004F105A"/>
    <w:rsid w:val="004F2D04"/>
    <w:rsid w:val="004F51B9"/>
    <w:rsid w:val="004F7E21"/>
    <w:rsid w:val="005010DE"/>
    <w:rsid w:val="005035CF"/>
    <w:rsid w:val="0050683E"/>
    <w:rsid w:val="00506C31"/>
    <w:rsid w:val="00511724"/>
    <w:rsid w:val="005148F3"/>
    <w:rsid w:val="0052079E"/>
    <w:rsid w:val="00522C17"/>
    <w:rsid w:val="00523677"/>
    <w:rsid w:val="00523F62"/>
    <w:rsid w:val="005242C9"/>
    <w:rsid w:val="00525727"/>
    <w:rsid w:val="00533D4B"/>
    <w:rsid w:val="00537815"/>
    <w:rsid w:val="005404A8"/>
    <w:rsid w:val="00540BA2"/>
    <w:rsid w:val="0054104F"/>
    <w:rsid w:val="005411DC"/>
    <w:rsid w:val="005420A9"/>
    <w:rsid w:val="005420D2"/>
    <w:rsid w:val="005458C4"/>
    <w:rsid w:val="00547327"/>
    <w:rsid w:val="005510EA"/>
    <w:rsid w:val="0055586D"/>
    <w:rsid w:val="00565992"/>
    <w:rsid w:val="00566788"/>
    <w:rsid w:val="00570D17"/>
    <w:rsid w:val="00573392"/>
    <w:rsid w:val="005821A9"/>
    <w:rsid w:val="00582EFF"/>
    <w:rsid w:val="0058516E"/>
    <w:rsid w:val="0058687F"/>
    <w:rsid w:val="00587248"/>
    <w:rsid w:val="00594BE3"/>
    <w:rsid w:val="00596F9C"/>
    <w:rsid w:val="005A65F7"/>
    <w:rsid w:val="005B0557"/>
    <w:rsid w:val="005B0D89"/>
    <w:rsid w:val="005B1C30"/>
    <w:rsid w:val="005B441A"/>
    <w:rsid w:val="005B546C"/>
    <w:rsid w:val="005C193F"/>
    <w:rsid w:val="005C30D2"/>
    <w:rsid w:val="005C3DE8"/>
    <w:rsid w:val="005C653D"/>
    <w:rsid w:val="005D5D78"/>
    <w:rsid w:val="005D72EA"/>
    <w:rsid w:val="005D7864"/>
    <w:rsid w:val="005E10DB"/>
    <w:rsid w:val="005E3443"/>
    <w:rsid w:val="005E4A18"/>
    <w:rsid w:val="005E5FDA"/>
    <w:rsid w:val="005E6E74"/>
    <w:rsid w:val="005F3554"/>
    <w:rsid w:val="005F5B61"/>
    <w:rsid w:val="006005DD"/>
    <w:rsid w:val="00600818"/>
    <w:rsid w:val="00601735"/>
    <w:rsid w:val="00606542"/>
    <w:rsid w:val="00607DD3"/>
    <w:rsid w:val="0061310D"/>
    <w:rsid w:val="0061725A"/>
    <w:rsid w:val="0062138A"/>
    <w:rsid w:val="006242C8"/>
    <w:rsid w:val="00627EC2"/>
    <w:rsid w:val="00627F43"/>
    <w:rsid w:val="00633E71"/>
    <w:rsid w:val="00635FB0"/>
    <w:rsid w:val="0063636B"/>
    <w:rsid w:val="00636F61"/>
    <w:rsid w:val="0064114E"/>
    <w:rsid w:val="00641E28"/>
    <w:rsid w:val="00654788"/>
    <w:rsid w:val="00670D24"/>
    <w:rsid w:val="00670FF6"/>
    <w:rsid w:val="00674DB5"/>
    <w:rsid w:val="00684082"/>
    <w:rsid w:val="00685122"/>
    <w:rsid w:val="0068576D"/>
    <w:rsid w:val="00685DB6"/>
    <w:rsid w:val="00692408"/>
    <w:rsid w:val="00695C8E"/>
    <w:rsid w:val="00696D11"/>
    <w:rsid w:val="006A631C"/>
    <w:rsid w:val="006A6649"/>
    <w:rsid w:val="006A744C"/>
    <w:rsid w:val="006B3F4B"/>
    <w:rsid w:val="006B64CF"/>
    <w:rsid w:val="006B6699"/>
    <w:rsid w:val="006C19E5"/>
    <w:rsid w:val="006C247D"/>
    <w:rsid w:val="006C252D"/>
    <w:rsid w:val="006C703F"/>
    <w:rsid w:val="006D00F3"/>
    <w:rsid w:val="006D0123"/>
    <w:rsid w:val="006D0887"/>
    <w:rsid w:val="006E406C"/>
    <w:rsid w:val="006E6832"/>
    <w:rsid w:val="006F6C78"/>
    <w:rsid w:val="007009FD"/>
    <w:rsid w:val="007025B4"/>
    <w:rsid w:val="007029C1"/>
    <w:rsid w:val="00703FC5"/>
    <w:rsid w:val="00705B13"/>
    <w:rsid w:val="0070654A"/>
    <w:rsid w:val="007120E0"/>
    <w:rsid w:val="00717B99"/>
    <w:rsid w:val="00720093"/>
    <w:rsid w:val="00721A9E"/>
    <w:rsid w:val="00722D91"/>
    <w:rsid w:val="00723725"/>
    <w:rsid w:val="0072512D"/>
    <w:rsid w:val="00725EF7"/>
    <w:rsid w:val="00726CB4"/>
    <w:rsid w:val="00731BBC"/>
    <w:rsid w:val="00731C3C"/>
    <w:rsid w:val="00731C6F"/>
    <w:rsid w:val="00734A78"/>
    <w:rsid w:val="0074208E"/>
    <w:rsid w:val="00743909"/>
    <w:rsid w:val="00743D60"/>
    <w:rsid w:val="0074517C"/>
    <w:rsid w:val="0074694D"/>
    <w:rsid w:val="00746B7F"/>
    <w:rsid w:val="00751413"/>
    <w:rsid w:val="007518FE"/>
    <w:rsid w:val="00753AFA"/>
    <w:rsid w:val="007568AF"/>
    <w:rsid w:val="00767030"/>
    <w:rsid w:val="0077373B"/>
    <w:rsid w:val="00774227"/>
    <w:rsid w:val="00781AF7"/>
    <w:rsid w:val="007834AF"/>
    <w:rsid w:val="00783B5B"/>
    <w:rsid w:val="00785C36"/>
    <w:rsid w:val="00787702"/>
    <w:rsid w:val="00795898"/>
    <w:rsid w:val="00796262"/>
    <w:rsid w:val="007A24F5"/>
    <w:rsid w:val="007A25FB"/>
    <w:rsid w:val="007A3721"/>
    <w:rsid w:val="007A7638"/>
    <w:rsid w:val="007B1B38"/>
    <w:rsid w:val="007B3A22"/>
    <w:rsid w:val="007C0536"/>
    <w:rsid w:val="007C5975"/>
    <w:rsid w:val="007D0688"/>
    <w:rsid w:val="007D1E1A"/>
    <w:rsid w:val="007D28CE"/>
    <w:rsid w:val="007D3DCB"/>
    <w:rsid w:val="007D4D36"/>
    <w:rsid w:val="007E2364"/>
    <w:rsid w:val="007E7B32"/>
    <w:rsid w:val="007E7ECD"/>
    <w:rsid w:val="007E7F9C"/>
    <w:rsid w:val="007E7FAE"/>
    <w:rsid w:val="007F0165"/>
    <w:rsid w:val="007F071A"/>
    <w:rsid w:val="007F3671"/>
    <w:rsid w:val="007F4BC0"/>
    <w:rsid w:val="007F62C4"/>
    <w:rsid w:val="0080494C"/>
    <w:rsid w:val="00805D34"/>
    <w:rsid w:val="00807336"/>
    <w:rsid w:val="0080763B"/>
    <w:rsid w:val="00807AEA"/>
    <w:rsid w:val="008108F5"/>
    <w:rsid w:val="00815076"/>
    <w:rsid w:val="0081544C"/>
    <w:rsid w:val="00816890"/>
    <w:rsid w:val="0081767A"/>
    <w:rsid w:val="008177B4"/>
    <w:rsid w:val="00825B88"/>
    <w:rsid w:val="00826497"/>
    <w:rsid w:val="0082659B"/>
    <w:rsid w:val="008319DF"/>
    <w:rsid w:val="00833258"/>
    <w:rsid w:val="00835C94"/>
    <w:rsid w:val="00836179"/>
    <w:rsid w:val="008371B0"/>
    <w:rsid w:val="0084062B"/>
    <w:rsid w:val="00845CFA"/>
    <w:rsid w:val="0085071F"/>
    <w:rsid w:val="008515B7"/>
    <w:rsid w:val="00857C73"/>
    <w:rsid w:val="00857F90"/>
    <w:rsid w:val="008604B4"/>
    <w:rsid w:val="00865A0B"/>
    <w:rsid w:val="00866227"/>
    <w:rsid w:val="00872284"/>
    <w:rsid w:val="00873444"/>
    <w:rsid w:val="00874650"/>
    <w:rsid w:val="00874A9D"/>
    <w:rsid w:val="00875230"/>
    <w:rsid w:val="00875276"/>
    <w:rsid w:val="008754EA"/>
    <w:rsid w:val="00875648"/>
    <w:rsid w:val="00882645"/>
    <w:rsid w:val="00882ECC"/>
    <w:rsid w:val="008868FA"/>
    <w:rsid w:val="00886B1E"/>
    <w:rsid w:val="0088743C"/>
    <w:rsid w:val="00891DEE"/>
    <w:rsid w:val="00891F12"/>
    <w:rsid w:val="00894E98"/>
    <w:rsid w:val="008959F8"/>
    <w:rsid w:val="008A3953"/>
    <w:rsid w:val="008A55B6"/>
    <w:rsid w:val="008B4349"/>
    <w:rsid w:val="008B590B"/>
    <w:rsid w:val="008B789D"/>
    <w:rsid w:val="008C2A39"/>
    <w:rsid w:val="008C3179"/>
    <w:rsid w:val="008C5018"/>
    <w:rsid w:val="008C76F1"/>
    <w:rsid w:val="008D0952"/>
    <w:rsid w:val="008D0D3C"/>
    <w:rsid w:val="008D7058"/>
    <w:rsid w:val="008D7370"/>
    <w:rsid w:val="008D7F08"/>
    <w:rsid w:val="008E2564"/>
    <w:rsid w:val="008E27C4"/>
    <w:rsid w:val="008E4B5A"/>
    <w:rsid w:val="008E610E"/>
    <w:rsid w:val="008E7478"/>
    <w:rsid w:val="008F0820"/>
    <w:rsid w:val="008F084E"/>
    <w:rsid w:val="008F5C77"/>
    <w:rsid w:val="00900F64"/>
    <w:rsid w:val="0090128A"/>
    <w:rsid w:val="00906C2A"/>
    <w:rsid w:val="0090778C"/>
    <w:rsid w:val="00907E84"/>
    <w:rsid w:val="00913789"/>
    <w:rsid w:val="00913D75"/>
    <w:rsid w:val="00914EC2"/>
    <w:rsid w:val="00915CA2"/>
    <w:rsid w:val="00916142"/>
    <w:rsid w:val="00925F21"/>
    <w:rsid w:val="0092693C"/>
    <w:rsid w:val="009302A9"/>
    <w:rsid w:val="00931CC9"/>
    <w:rsid w:val="00931D55"/>
    <w:rsid w:val="009401A6"/>
    <w:rsid w:val="00941A22"/>
    <w:rsid w:val="00941D31"/>
    <w:rsid w:val="00946E35"/>
    <w:rsid w:val="0095177F"/>
    <w:rsid w:val="009569A4"/>
    <w:rsid w:val="009639C5"/>
    <w:rsid w:val="009654A0"/>
    <w:rsid w:val="00972F0E"/>
    <w:rsid w:val="00973568"/>
    <w:rsid w:val="00975219"/>
    <w:rsid w:val="009766E2"/>
    <w:rsid w:val="00982D99"/>
    <w:rsid w:val="00983E9E"/>
    <w:rsid w:val="00984246"/>
    <w:rsid w:val="0098431B"/>
    <w:rsid w:val="00986E2E"/>
    <w:rsid w:val="00990BB1"/>
    <w:rsid w:val="00992037"/>
    <w:rsid w:val="00993A75"/>
    <w:rsid w:val="009959C1"/>
    <w:rsid w:val="0099710E"/>
    <w:rsid w:val="00997D64"/>
    <w:rsid w:val="009A013C"/>
    <w:rsid w:val="009A402D"/>
    <w:rsid w:val="009A5393"/>
    <w:rsid w:val="009A6087"/>
    <w:rsid w:val="009B0B49"/>
    <w:rsid w:val="009B2DFB"/>
    <w:rsid w:val="009B37FF"/>
    <w:rsid w:val="009B6538"/>
    <w:rsid w:val="009C0011"/>
    <w:rsid w:val="009C0C25"/>
    <w:rsid w:val="009C1558"/>
    <w:rsid w:val="009C4270"/>
    <w:rsid w:val="009D00F7"/>
    <w:rsid w:val="009D215B"/>
    <w:rsid w:val="009D387E"/>
    <w:rsid w:val="009D6BE7"/>
    <w:rsid w:val="009D6D65"/>
    <w:rsid w:val="009D7763"/>
    <w:rsid w:val="009E06D2"/>
    <w:rsid w:val="009F0E99"/>
    <w:rsid w:val="009F0EBE"/>
    <w:rsid w:val="009F508B"/>
    <w:rsid w:val="009F52CA"/>
    <w:rsid w:val="009F7C29"/>
    <w:rsid w:val="00A01FAD"/>
    <w:rsid w:val="00A056DE"/>
    <w:rsid w:val="00A06CAC"/>
    <w:rsid w:val="00A070BC"/>
    <w:rsid w:val="00A117E5"/>
    <w:rsid w:val="00A14FB1"/>
    <w:rsid w:val="00A17039"/>
    <w:rsid w:val="00A22FFC"/>
    <w:rsid w:val="00A245DB"/>
    <w:rsid w:val="00A32392"/>
    <w:rsid w:val="00A3393A"/>
    <w:rsid w:val="00A36735"/>
    <w:rsid w:val="00A40BEE"/>
    <w:rsid w:val="00A41DE7"/>
    <w:rsid w:val="00A4200D"/>
    <w:rsid w:val="00A4476C"/>
    <w:rsid w:val="00A47822"/>
    <w:rsid w:val="00A47965"/>
    <w:rsid w:val="00A47C10"/>
    <w:rsid w:val="00A50E94"/>
    <w:rsid w:val="00A5639B"/>
    <w:rsid w:val="00A63BD0"/>
    <w:rsid w:val="00A65F93"/>
    <w:rsid w:val="00A674CB"/>
    <w:rsid w:val="00A71523"/>
    <w:rsid w:val="00A74C83"/>
    <w:rsid w:val="00A75BF8"/>
    <w:rsid w:val="00A75E6D"/>
    <w:rsid w:val="00A77A3B"/>
    <w:rsid w:val="00A77E9B"/>
    <w:rsid w:val="00A8064E"/>
    <w:rsid w:val="00A80F1E"/>
    <w:rsid w:val="00A82C3B"/>
    <w:rsid w:val="00A84262"/>
    <w:rsid w:val="00A85CC3"/>
    <w:rsid w:val="00A87F12"/>
    <w:rsid w:val="00A9492E"/>
    <w:rsid w:val="00A94A46"/>
    <w:rsid w:val="00A955CA"/>
    <w:rsid w:val="00AA1797"/>
    <w:rsid w:val="00AA26E5"/>
    <w:rsid w:val="00AA31DD"/>
    <w:rsid w:val="00AC5532"/>
    <w:rsid w:val="00AD1841"/>
    <w:rsid w:val="00AD538A"/>
    <w:rsid w:val="00AD6736"/>
    <w:rsid w:val="00AD6E7D"/>
    <w:rsid w:val="00AE78E6"/>
    <w:rsid w:val="00AF2ECB"/>
    <w:rsid w:val="00B0123A"/>
    <w:rsid w:val="00B02A42"/>
    <w:rsid w:val="00B03D3D"/>
    <w:rsid w:val="00B0624B"/>
    <w:rsid w:val="00B0627E"/>
    <w:rsid w:val="00B10C6A"/>
    <w:rsid w:val="00B159A1"/>
    <w:rsid w:val="00B17804"/>
    <w:rsid w:val="00B23697"/>
    <w:rsid w:val="00B27CC2"/>
    <w:rsid w:val="00B27D4C"/>
    <w:rsid w:val="00B31921"/>
    <w:rsid w:val="00B319A0"/>
    <w:rsid w:val="00B32DFB"/>
    <w:rsid w:val="00B33307"/>
    <w:rsid w:val="00B35D58"/>
    <w:rsid w:val="00B36C4E"/>
    <w:rsid w:val="00B45C25"/>
    <w:rsid w:val="00B46D47"/>
    <w:rsid w:val="00B51DFC"/>
    <w:rsid w:val="00B52DD9"/>
    <w:rsid w:val="00B53763"/>
    <w:rsid w:val="00B54D57"/>
    <w:rsid w:val="00B5552F"/>
    <w:rsid w:val="00B55EAE"/>
    <w:rsid w:val="00B60F9F"/>
    <w:rsid w:val="00B61806"/>
    <w:rsid w:val="00B6181E"/>
    <w:rsid w:val="00B656B1"/>
    <w:rsid w:val="00B72F86"/>
    <w:rsid w:val="00B74884"/>
    <w:rsid w:val="00B75E32"/>
    <w:rsid w:val="00B7616E"/>
    <w:rsid w:val="00B7622D"/>
    <w:rsid w:val="00B841EC"/>
    <w:rsid w:val="00B85B9B"/>
    <w:rsid w:val="00B870EF"/>
    <w:rsid w:val="00B927F6"/>
    <w:rsid w:val="00B92D53"/>
    <w:rsid w:val="00B96952"/>
    <w:rsid w:val="00BA07C5"/>
    <w:rsid w:val="00BA2ECC"/>
    <w:rsid w:val="00BA3660"/>
    <w:rsid w:val="00BB3100"/>
    <w:rsid w:val="00BB421D"/>
    <w:rsid w:val="00BB6B61"/>
    <w:rsid w:val="00BB7DD3"/>
    <w:rsid w:val="00BC1672"/>
    <w:rsid w:val="00BC65B5"/>
    <w:rsid w:val="00BC7A5D"/>
    <w:rsid w:val="00BC7F0D"/>
    <w:rsid w:val="00BD0869"/>
    <w:rsid w:val="00BD3BF5"/>
    <w:rsid w:val="00BD5BBF"/>
    <w:rsid w:val="00BD732D"/>
    <w:rsid w:val="00BE1F23"/>
    <w:rsid w:val="00BE457A"/>
    <w:rsid w:val="00BE5ADA"/>
    <w:rsid w:val="00BF0D69"/>
    <w:rsid w:val="00BF1375"/>
    <w:rsid w:val="00BF7272"/>
    <w:rsid w:val="00C02651"/>
    <w:rsid w:val="00C032FA"/>
    <w:rsid w:val="00C0333E"/>
    <w:rsid w:val="00C05625"/>
    <w:rsid w:val="00C05BF0"/>
    <w:rsid w:val="00C061B6"/>
    <w:rsid w:val="00C102D9"/>
    <w:rsid w:val="00C105E7"/>
    <w:rsid w:val="00C10FA4"/>
    <w:rsid w:val="00C16600"/>
    <w:rsid w:val="00C20A10"/>
    <w:rsid w:val="00C21605"/>
    <w:rsid w:val="00C32DB4"/>
    <w:rsid w:val="00C33632"/>
    <w:rsid w:val="00C41FBD"/>
    <w:rsid w:val="00C453F0"/>
    <w:rsid w:val="00C505DD"/>
    <w:rsid w:val="00C50FDD"/>
    <w:rsid w:val="00C516FB"/>
    <w:rsid w:val="00C5240A"/>
    <w:rsid w:val="00C546D9"/>
    <w:rsid w:val="00C5791B"/>
    <w:rsid w:val="00C60006"/>
    <w:rsid w:val="00C61FC8"/>
    <w:rsid w:val="00C6296B"/>
    <w:rsid w:val="00C662D0"/>
    <w:rsid w:val="00C712E2"/>
    <w:rsid w:val="00C74419"/>
    <w:rsid w:val="00C758FC"/>
    <w:rsid w:val="00C8008B"/>
    <w:rsid w:val="00C80EF8"/>
    <w:rsid w:val="00C83639"/>
    <w:rsid w:val="00C864E3"/>
    <w:rsid w:val="00C87283"/>
    <w:rsid w:val="00C87517"/>
    <w:rsid w:val="00C91864"/>
    <w:rsid w:val="00C93B9B"/>
    <w:rsid w:val="00C96A58"/>
    <w:rsid w:val="00CA0276"/>
    <w:rsid w:val="00CA211A"/>
    <w:rsid w:val="00CA2F57"/>
    <w:rsid w:val="00CA374F"/>
    <w:rsid w:val="00CA3FA0"/>
    <w:rsid w:val="00CA48CD"/>
    <w:rsid w:val="00CA49F4"/>
    <w:rsid w:val="00CB48D2"/>
    <w:rsid w:val="00CB5A73"/>
    <w:rsid w:val="00CC4571"/>
    <w:rsid w:val="00CC636A"/>
    <w:rsid w:val="00CD1E3B"/>
    <w:rsid w:val="00CD31AE"/>
    <w:rsid w:val="00CD43E7"/>
    <w:rsid w:val="00CD729F"/>
    <w:rsid w:val="00CD79EB"/>
    <w:rsid w:val="00CE0093"/>
    <w:rsid w:val="00CE41EF"/>
    <w:rsid w:val="00CF1502"/>
    <w:rsid w:val="00CF3B57"/>
    <w:rsid w:val="00CF57E7"/>
    <w:rsid w:val="00D0678B"/>
    <w:rsid w:val="00D125B1"/>
    <w:rsid w:val="00D15247"/>
    <w:rsid w:val="00D23246"/>
    <w:rsid w:val="00D26F3F"/>
    <w:rsid w:val="00D30A70"/>
    <w:rsid w:val="00D34005"/>
    <w:rsid w:val="00D341E7"/>
    <w:rsid w:val="00D34619"/>
    <w:rsid w:val="00D3586F"/>
    <w:rsid w:val="00D37174"/>
    <w:rsid w:val="00D37FB6"/>
    <w:rsid w:val="00D43CFF"/>
    <w:rsid w:val="00D44AD6"/>
    <w:rsid w:val="00D45F94"/>
    <w:rsid w:val="00D5011C"/>
    <w:rsid w:val="00D6075F"/>
    <w:rsid w:val="00D61514"/>
    <w:rsid w:val="00D658E7"/>
    <w:rsid w:val="00D71595"/>
    <w:rsid w:val="00D71D9E"/>
    <w:rsid w:val="00D72027"/>
    <w:rsid w:val="00D75621"/>
    <w:rsid w:val="00D769B6"/>
    <w:rsid w:val="00D77F5D"/>
    <w:rsid w:val="00D83531"/>
    <w:rsid w:val="00D83CE9"/>
    <w:rsid w:val="00D85384"/>
    <w:rsid w:val="00D8557C"/>
    <w:rsid w:val="00D876D7"/>
    <w:rsid w:val="00D87710"/>
    <w:rsid w:val="00D90D5D"/>
    <w:rsid w:val="00D92220"/>
    <w:rsid w:val="00D93B51"/>
    <w:rsid w:val="00D94184"/>
    <w:rsid w:val="00DA0C7E"/>
    <w:rsid w:val="00DA2280"/>
    <w:rsid w:val="00DA5991"/>
    <w:rsid w:val="00DA5EA1"/>
    <w:rsid w:val="00DC0E37"/>
    <w:rsid w:val="00DC2A33"/>
    <w:rsid w:val="00DC780E"/>
    <w:rsid w:val="00DD24C3"/>
    <w:rsid w:val="00DD4054"/>
    <w:rsid w:val="00DD79B4"/>
    <w:rsid w:val="00DE0433"/>
    <w:rsid w:val="00DE15C5"/>
    <w:rsid w:val="00DE2B88"/>
    <w:rsid w:val="00DE3391"/>
    <w:rsid w:val="00DE599B"/>
    <w:rsid w:val="00DF71D9"/>
    <w:rsid w:val="00E00EE5"/>
    <w:rsid w:val="00E06CA0"/>
    <w:rsid w:val="00E07184"/>
    <w:rsid w:val="00E10AFC"/>
    <w:rsid w:val="00E10B6D"/>
    <w:rsid w:val="00E302CD"/>
    <w:rsid w:val="00E304D1"/>
    <w:rsid w:val="00E319EA"/>
    <w:rsid w:val="00E36301"/>
    <w:rsid w:val="00E367DF"/>
    <w:rsid w:val="00E37862"/>
    <w:rsid w:val="00E37E88"/>
    <w:rsid w:val="00E400C2"/>
    <w:rsid w:val="00E40C89"/>
    <w:rsid w:val="00E41B74"/>
    <w:rsid w:val="00E44C47"/>
    <w:rsid w:val="00E45C2E"/>
    <w:rsid w:val="00E65FCC"/>
    <w:rsid w:val="00E804F8"/>
    <w:rsid w:val="00E83CAB"/>
    <w:rsid w:val="00E85A87"/>
    <w:rsid w:val="00E94EF2"/>
    <w:rsid w:val="00E95022"/>
    <w:rsid w:val="00E96222"/>
    <w:rsid w:val="00E974AE"/>
    <w:rsid w:val="00E9771A"/>
    <w:rsid w:val="00EA0BFA"/>
    <w:rsid w:val="00EA319E"/>
    <w:rsid w:val="00EA3373"/>
    <w:rsid w:val="00EB009C"/>
    <w:rsid w:val="00EB4AFF"/>
    <w:rsid w:val="00EB6B46"/>
    <w:rsid w:val="00EC6AEB"/>
    <w:rsid w:val="00EC77B0"/>
    <w:rsid w:val="00ED0E9A"/>
    <w:rsid w:val="00ED0EE8"/>
    <w:rsid w:val="00EE137E"/>
    <w:rsid w:val="00EE22F2"/>
    <w:rsid w:val="00EE4B40"/>
    <w:rsid w:val="00EE553F"/>
    <w:rsid w:val="00EE5FD8"/>
    <w:rsid w:val="00EE69F7"/>
    <w:rsid w:val="00EE7967"/>
    <w:rsid w:val="00F0072E"/>
    <w:rsid w:val="00F0104E"/>
    <w:rsid w:val="00F01EDC"/>
    <w:rsid w:val="00F02A4C"/>
    <w:rsid w:val="00F060E7"/>
    <w:rsid w:val="00F07164"/>
    <w:rsid w:val="00F077DD"/>
    <w:rsid w:val="00F1013A"/>
    <w:rsid w:val="00F10A10"/>
    <w:rsid w:val="00F110DA"/>
    <w:rsid w:val="00F114EA"/>
    <w:rsid w:val="00F17A2C"/>
    <w:rsid w:val="00F20139"/>
    <w:rsid w:val="00F20386"/>
    <w:rsid w:val="00F22665"/>
    <w:rsid w:val="00F261F9"/>
    <w:rsid w:val="00F3469A"/>
    <w:rsid w:val="00F456B6"/>
    <w:rsid w:val="00F4798A"/>
    <w:rsid w:val="00F50EC2"/>
    <w:rsid w:val="00F519C1"/>
    <w:rsid w:val="00F51E64"/>
    <w:rsid w:val="00F526CB"/>
    <w:rsid w:val="00F53840"/>
    <w:rsid w:val="00F5515E"/>
    <w:rsid w:val="00F56BB9"/>
    <w:rsid w:val="00F60760"/>
    <w:rsid w:val="00F633EB"/>
    <w:rsid w:val="00F64753"/>
    <w:rsid w:val="00F64A45"/>
    <w:rsid w:val="00F64CAB"/>
    <w:rsid w:val="00F67594"/>
    <w:rsid w:val="00F677BE"/>
    <w:rsid w:val="00F67874"/>
    <w:rsid w:val="00F67E42"/>
    <w:rsid w:val="00F67FA8"/>
    <w:rsid w:val="00F73631"/>
    <w:rsid w:val="00F81ACB"/>
    <w:rsid w:val="00F82C33"/>
    <w:rsid w:val="00F861ED"/>
    <w:rsid w:val="00F90CC8"/>
    <w:rsid w:val="00F91327"/>
    <w:rsid w:val="00F93634"/>
    <w:rsid w:val="00F94B27"/>
    <w:rsid w:val="00F955EA"/>
    <w:rsid w:val="00F95F28"/>
    <w:rsid w:val="00F97A21"/>
    <w:rsid w:val="00FA1175"/>
    <w:rsid w:val="00FA3E50"/>
    <w:rsid w:val="00FB12D2"/>
    <w:rsid w:val="00FB5713"/>
    <w:rsid w:val="00FB5AD8"/>
    <w:rsid w:val="00FB7607"/>
    <w:rsid w:val="00FC1530"/>
    <w:rsid w:val="00FC4BAA"/>
    <w:rsid w:val="00FC5DE0"/>
    <w:rsid w:val="00FC756E"/>
    <w:rsid w:val="00FD1694"/>
    <w:rsid w:val="00FD63F4"/>
    <w:rsid w:val="00FE0F08"/>
    <w:rsid w:val="00FF1A4E"/>
    <w:rsid w:val="00FF2517"/>
    <w:rsid w:val="00FF6E4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A7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656B1"/>
    <w:pPr>
      <w:widowControl w:val="0"/>
      <w:autoSpaceDE w:val="0"/>
      <w:autoSpaceDN w:val="0"/>
      <w:adjustRightInd w:val="0"/>
    </w:pPr>
    <w:rPr>
      <w:sz w:val="24"/>
      <w:szCs w:val="24"/>
    </w:rPr>
  </w:style>
  <w:style w:type="paragraph" w:styleId="Ttulo1">
    <w:name w:val="heading 1"/>
    <w:basedOn w:val="Normal"/>
    <w:next w:val="Normal"/>
    <w:link w:val="Ttulo1Char"/>
    <w:uiPriority w:val="9"/>
    <w:qFormat/>
    <w:pPr>
      <w:keepNext/>
      <w:spacing w:line="400" w:lineRule="exact"/>
      <w:jc w:val="center"/>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qFormat/>
    <w:pPr>
      <w:keepNext/>
      <w:spacing w:before="120"/>
      <w:outlineLvl w:val="1"/>
    </w:pPr>
    <w:rPr>
      <w:rFonts w:ascii="Cambria" w:eastAsia="Times New Roman" w:hAnsi="Cambria"/>
      <w:b/>
      <w:bCs/>
      <w:i/>
      <w:iCs/>
    </w:rPr>
  </w:style>
  <w:style w:type="paragraph" w:styleId="Ttulo3">
    <w:name w:val="heading 3"/>
    <w:basedOn w:val="Normal"/>
    <w:next w:val="Normal"/>
    <w:link w:val="Ttulo3Char"/>
    <w:uiPriority w:val="9"/>
    <w:qFormat/>
    <w:pPr>
      <w:keepNext/>
      <w:outlineLvl w:val="2"/>
    </w:pPr>
    <w:rPr>
      <w:rFonts w:ascii="Cambria" w:eastAsia="Times New Roman" w:hAnsi="Cambria"/>
      <w:b/>
      <w:bCs/>
      <w:sz w:val="26"/>
      <w:szCs w:val="26"/>
    </w:rPr>
  </w:style>
  <w:style w:type="paragraph" w:styleId="Ttulo5">
    <w:name w:val="heading 5"/>
    <w:basedOn w:val="Normal"/>
    <w:next w:val="Normal"/>
    <w:link w:val="Ttulo5Char"/>
    <w:uiPriority w:val="9"/>
    <w:unhideWhenUsed/>
    <w:qFormat/>
    <w:rsid w:val="00627F43"/>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9654A0"/>
    <w:pPr>
      <w:keepNext/>
      <w:numPr>
        <w:ilvl w:val="5"/>
        <w:numId w:val="1"/>
      </w:numPr>
      <w:suppressAutoHyphens/>
      <w:autoSpaceDE/>
      <w:autoSpaceDN/>
      <w:ind w:left="709"/>
      <w:jc w:val="center"/>
      <w:outlineLvl w:val="5"/>
    </w:pPr>
    <w:rPr>
      <w:rFonts w:eastAsia="Times New Roman"/>
      <w:b/>
      <w:bCs/>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lang w:val="en-AU" w:eastAsia="es-ES"/>
    </w:rPr>
  </w:style>
  <w:style w:type="character" w:customStyle="1" w:styleId="Ttulo2Char">
    <w:name w:val="Título 2 Char"/>
    <w:link w:val="Ttulo2"/>
    <w:uiPriority w:val="9"/>
    <w:semiHidden/>
    <w:rPr>
      <w:rFonts w:ascii="Cambria" w:eastAsia="Times New Roman" w:hAnsi="Cambria" w:cs="Times New Roman"/>
      <w:b/>
      <w:bCs/>
      <w:i/>
      <w:iCs/>
      <w:sz w:val="28"/>
      <w:szCs w:val="28"/>
      <w:lang w:val="en-AU" w:eastAsia="es-ES"/>
    </w:rPr>
  </w:style>
  <w:style w:type="character" w:customStyle="1" w:styleId="Ttulo3Char">
    <w:name w:val="Título 3 Char"/>
    <w:link w:val="Ttulo3"/>
    <w:uiPriority w:val="9"/>
    <w:semiHidden/>
    <w:rPr>
      <w:rFonts w:ascii="Cambria" w:eastAsia="Times New Roman" w:hAnsi="Cambria" w:cs="Times New Roman"/>
      <w:b/>
      <w:bCs/>
      <w:sz w:val="26"/>
      <w:szCs w:val="26"/>
      <w:lang w:val="en-AU" w:eastAsia="es-ES"/>
    </w:rPr>
  </w:style>
  <w:style w:type="paragraph" w:customStyle="1" w:styleId="Endnote">
    <w:name w:val="Endnote"/>
    <w:basedOn w:val="Normal"/>
    <w:uiPriority w:val="99"/>
  </w:style>
  <w:style w:type="paragraph" w:styleId="Corpodetexto">
    <w:name w:val="Body Text"/>
    <w:basedOn w:val="Normal"/>
    <w:link w:val="CorpodetextoChar"/>
    <w:uiPriority w:val="99"/>
    <w:pPr>
      <w:ind w:right="-341"/>
    </w:pPr>
  </w:style>
  <w:style w:type="character" w:customStyle="1" w:styleId="CorpodetextoChar">
    <w:name w:val="Corpo de texto Char"/>
    <w:link w:val="Corpodetexto"/>
    <w:uiPriority w:val="99"/>
    <w:semiHidden/>
    <w:rPr>
      <w:sz w:val="28"/>
      <w:szCs w:val="28"/>
      <w:lang w:val="en-AU" w:eastAsia="es-ES"/>
    </w:rPr>
  </w:style>
  <w:style w:type="character" w:styleId="Hyperlink">
    <w:name w:val="Hyperlink"/>
    <w:uiPriority w:val="99"/>
    <w:rPr>
      <w:color w:val="0000FF"/>
      <w:u w:val="single"/>
    </w:rPr>
  </w:style>
  <w:style w:type="paragraph" w:styleId="MapadoDocumento">
    <w:name w:val="Document Map"/>
    <w:basedOn w:val="Normal"/>
    <w:link w:val="MapadoDocumentoChar"/>
    <w:uiPriority w:val="99"/>
    <w:semiHidden/>
    <w:pPr>
      <w:shd w:val="clear" w:color="auto" w:fill="000080"/>
    </w:pPr>
    <w:rPr>
      <w:rFonts w:ascii="Tahoma" w:hAnsi="Tahoma"/>
      <w:sz w:val="16"/>
      <w:szCs w:val="16"/>
    </w:rPr>
  </w:style>
  <w:style w:type="character" w:customStyle="1" w:styleId="MapadoDocumentoChar">
    <w:name w:val="Mapa do Documento Char"/>
    <w:link w:val="MapadoDocumento"/>
    <w:uiPriority w:val="99"/>
    <w:semiHidden/>
    <w:rPr>
      <w:rFonts w:ascii="Tahoma" w:hAnsi="Tahoma" w:cs="Tahoma"/>
      <w:sz w:val="16"/>
      <w:szCs w:val="16"/>
      <w:lang w:val="en-AU" w:eastAsia="es-ES"/>
    </w:rPr>
  </w:style>
  <w:style w:type="paragraph" w:customStyle="1" w:styleId="PMEAuthorInstitution">
    <w:name w:val="PME Author/Institution"/>
    <w:basedOn w:val="PMENormal"/>
    <w:uiPriority w:val="99"/>
    <w:pPr>
      <w:jc w:val="center"/>
    </w:pPr>
  </w:style>
  <w:style w:type="paragraph" w:customStyle="1" w:styleId="PMEAbstract">
    <w:name w:val="PME Abstract"/>
    <w:basedOn w:val="PMENormal"/>
    <w:uiPriority w:val="99"/>
    <w:rPr>
      <w:i/>
      <w:iCs/>
    </w:rPr>
  </w:style>
  <w:style w:type="paragraph" w:customStyle="1" w:styleId="PMENormal">
    <w:name w:val="PME Normal"/>
    <w:link w:val="PMENormalChar"/>
    <w:rsid w:val="00A070BC"/>
    <w:pPr>
      <w:autoSpaceDE w:val="0"/>
      <w:autoSpaceDN w:val="0"/>
      <w:spacing w:after="120" w:line="320" w:lineRule="atLeast"/>
      <w:jc w:val="both"/>
    </w:pPr>
    <w:rPr>
      <w:sz w:val="26"/>
      <w:szCs w:val="26"/>
      <w:lang w:val="en-AU" w:eastAsia="es-ES"/>
    </w:rPr>
  </w:style>
  <w:style w:type="paragraph" w:customStyle="1" w:styleId="PMEHeading1">
    <w:name w:val="PME Heading 1"/>
    <w:basedOn w:val="PMENormal"/>
    <w:link w:val="PMEHeading1Char"/>
    <w:uiPriority w:val="99"/>
    <w:pPr>
      <w:keepNext/>
      <w:spacing w:before="120"/>
      <w:jc w:val="center"/>
      <w:outlineLvl w:val="0"/>
    </w:pPr>
    <w:rPr>
      <w:b/>
      <w:bCs/>
      <w:caps/>
      <w:kern w:val="28"/>
      <w:sz w:val="32"/>
      <w:szCs w:val="32"/>
    </w:rPr>
  </w:style>
  <w:style w:type="paragraph" w:customStyle="1" w:styleId="PMEHeading2">
    <w:name w:val="PME Heading 2"/>
    <w:basedOn w:val="PMENormal"/>
    <w:next w:val="PMENormal"/>
    <w:link w:val="PMEHeading2Char"/>
    <w:uiPriority w:val="99"/>
    <w:pPr>
      <w:keepNext/>
      <w:spacing w:before="120"/>
      <w:jc w:val="left"/>
      <w:outlineLvl w:val="1"/>
    </w:pPr>
    <w:rPr>
      <w:b/>
      <w:bCs/>
      <w:caps/>
    </w:rPr>
  </w:style>
  <w:style w:type="paragraph" w:customStyle="1" w:styleId="PMEHeading3">
    <w:name w:val="PME Heading 3"/>
    <w:basedOn w:val="PMENormal"/>
    <w:next w:val="PMENormal"/>
    <w:link w:val="PMEHeading3Char"/>
    <w:uiPriority w:val="99"/>
    <w:pPr>
      <w:keepNext/>
      <w:jc w:val="left"/>
      <w:outlineLvl w:val="2"/>
    </w:pPr>
    <w:rPr>
      <w:b/>
      <w:bCs/>
    </w:rPr>
  </w:style>
  <w:style w:type="paragraph" w:customStyle="1" w:styleId="PMEQuote">
    <w:name w:val="PME Quote"/>
    <w:basedOn w:val="PMENormal"/>
    <w:next w:val="PMENormal"/>
    <w:link w:val="PMEQuoteChar"/>
    <w:uiPriority w:val="99"/>
    <w:pPr>
      <w:spacing w:line="260" w:lineRule="atLeast"/>
      <w:ind w:left="289"/>
    </w:pPr>
  </w:style>
  <w:style w:type="paragraph" w:customStyle="1" w:styleId="PMEFigTitle">
    <w:name w:val="PME FigTitle"/>
    <w:basedOn w:val="PMENormal"/>
    <w:next w:val="PMENormal"/>
    <w:link w:val="PMEFigTitleChar"/>
    <w:uiPriority w:val="99"/>
    <w:pPr>
      <w:spacing w:before="120"/>
      <w:jc w:val="center"/>
    </w:pPr>
  </w:style>
  <w:style w:type="paragraph" w:customStyle="1" w:styleId="PMENumberedtranscript">
    <w:name w:val="PME Numbered transcript"/>
    <w:basedOn w:val="PMENormal"/>
    <w:next w:val="PMENormal"/>
    <w:uiPriority w:val="99"/>
    <w:pPr>
      <w:tabs>
        <w:tab w:val="left" w:pos="992"/>
      </w:tabs>
      <w:spacing w:line="260" w:lineRule="exact"/>
      <w:ind w:left="1865" w:hanging="1440"/>
    </w:pPr>
  </w:style>
  <w:style w:type="paragraph" w:customStyle="1" w:styleId="PMETranscript">
    <w:name w:val="PME Transcript"/>
    <w:basedOn w:val="PMENormal"/>
    <w:next w:val="PMENormal"/>
    <w:link w:val="PMETranscriptChar"/>
    <w:uiPriority w:val="99"/>
    <w:pPr>
      <w:spacing w:line="260" w:lineRule="atLeast"/>
      <w:ind w:left="1865" w:hanging="1440"/>
    </w:pPr>
  </w:style>
  <w:style w:type="paragraph" w:customStyle="1" w:styleId="PMEReferences">
    <w:name w:val="PME References"/>
    <w:basedOn w:val="PMENormal"/>
    <w:link w:val="PMEReferencesChar"/>
    <w:pPr>
      <w:spacing w:line="260" w:lineRule="atLeast"/>
      <w:ind w:left="289" w:hanging="289"/>
    </w:pPr>
  </w:style>
  <w:style w:type="paragraph" w:customStyle="1" w:styleId="PMEBullet">
    <w:name w:val="PME Bullet"/>
    <w:basedOn w:val="PMENormal"/>
    <w:link w:val="PMEBulletChar"/>
    <w:uiPriority w:val="99"/>
    <w:rsid w:val="000D36F4"/>
    <w:pPr>
      <w:numPr>
        <w:numId w:val="4"/>
      </w:numPr>
      <w:tabs>
        <w:tab w:val="clear" w:pos="1145"/>
        <w:tab w:val="num" w:pos="709"/>
      </w:tabs>
      <w:spacing w:after="0"/>
      <w:ind w:left="709" w:hanging="425"/>
    </w:pPr>
  </w:style>
  <w:style w:type="paragraph" w:styleId="Cabealho">
    <w:name w:val="header"/>
    <w:basedOn w:val="Normal"/>
    <w:link w:val="CabealhoChar"/>
    <w:uiPriority w:val="99"/>
    <w:pPr>
      <w:tabs>
        <w:tab w:val="center" w:pos="4320"/>
        <w:tab w:val="right" w:pos="8640"/>
      </w:tabs>
    </w:pPr>
  </w:style>
  <w:style w:type="character" w:customStyle="1" w:styleId="CabealhoChar">
    <w:name w:val="Cabeçalho Char"/>
    <w:link w:val="Cabealho"/>
    <w:uiPriority w:val="99"/>
    <w:rPr>
      <w:sz w:val="28"/>
      <w:szCs w:val="28"/>
      <w:lang w:val="en-AU" w:eastAsia="es-ES"/>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link w:val="Rodap"/>
    <w:uiPriority w:val="99"/>
    <w:semiHidden/>
    <w:rPr>
      <w:sz w:val="28"/>
      <w:szCs w:val="28"/>
      <w:lang w:val="en-AU" w:eastAsia="es-ES"/>
    </w:rPr>
  </w:style>
  <w:style w:type="character" w:styleId="Nmerodepgina">
    <w:name w:val="page number"/>
    <w:basedOn w:val="Fontepargpadro"/>
    <w:uiPriority w:val="99"/>
  </w:style>
  <w:style w:type="character" w:styleId="HiperlinkVisitado">
    <w:name w:val="FollowedHyperlink"/>
    <w:uiPriority w:val="99"/>
    <w:semiHidden/>
    <w:unhideWhenUsed/>
    <w:rsid w:val="00CA211A"/>
    <w:rPr>
      <w:color w:val="800080"/>
      <w:u w:val="single"/>
    </w:rPr>
  </w:style>
  <w:style w:type="paragraph" w:customStyle="1" w:styleId="E0768D090ABB4831A8A820B640BB2A5C">
    <w:name w:val="E0768D090ABB4831A8A820B640BB2A5C"/>
    <w:rsid w:val="003977C8"/>
    <w:pPr>
      <w:spacing w:after="200" w:line="276" w:lineRule="auto"/>
    </w:pPr>
    <w:rPr>
      <w:rFonts w:ascii="Malgun Gothic" w:eastAsia="Malgun Gothic" w:hAnsi="Malgun Gothic"/>
      <w:sz w:val="22"/>
      <w:szCs w:val="22"/>
      <w:lang w:eastAsia="en-US"/>
    </w:rPr>
  </w:style>
  <w:style w:type="paragraph" w:styleId="TextosemFormatao">
    <w:name w:val="Plain Text"/>
    <w:basedOn w:val="Normal"/>
    <w:link w:val="TextosemFormataoChar"/>
    <w:rsid w:val="000C4B97"/>
    <w:rPr>
      <w:rFonts w:ascii="New York" w:eastAsia="Batang" w:hAnsi="New York"/>
      <w:sz w:val="21"/>
      <w:szCs w:val="21"/>
      <w:lang w:eastAsia="en-US"/>
    </w:rPr>
  </w:style>
  <w:style w:type="character" w:customStyle="1" w:styleId="TextosemFormataoChar">
    <w:name w:val="Texto sem Formatação Char"/>
    <w:link w:val="TextosemFormatao"/>
    <w:rsid w:val="000C4B97"/>
    <w:rPr>
      <w:rFonts w:ascii="New York" w:eastAsia="Batang" w:hAnsi="New York" w:cs="New York"/>
      <w:sz w:val="21"/>
      <w:szCs w:val="21"/>
      <w:lang w:eastAsia="en-US"/>
    </w:rPr>
  </w:style>
  <w:style w:type="paragraph" w:customStyle="1" w:styleId="ICME-12Heading1">
    <w:name w:val="ICME-12 Heading 1"/>
    <w:basedOn w:val="PMEHeading1"/>
    <w:link w:val="ICME-12Heading1Char"/>
    <w:autoRedefine/>
    <w:rsid w:val="009F52CA"/>
    <w:pPr>
      <w:spacing w:line="240" w:lineRule="auto"/>
    </w:pPr>
  </w:style>
  <w:style w:type="paragraph" w:customStyle="1" w:styleId="ICMEabstract">
    <w:name w:val="ICME abstract"/>
    <w:basedOn w:val="TextosemFormatao"/>
    <w:link w:val="ICMEabstractChar"/>
    <w:autoRedefine/>
    <w:qFormat/>
    <w:rsid w:val="008F5C77"/>
    <w:pPr>
      <w:jc w:val="both"/>
    </w:pPr>
    <w:rPr>
      <w:i/>
      <w:sz w:val="24"/>
      <w:szCs w:val="24"/>
    </w:rPr>
  </w:style>
  <w:style w:type="character" w:customStyle="1" w:styleId="PMENormalChar">
    <w:name w:val="PME Normal Char"/>
    <w:link w:val="PMENormal"/>
    <w:rsid w:val="00A070BC"/>
    <w:rPr>
      <w:sz w:val="26"/>
      <w:szCs w:val="26"/>
      <w:lang w:val="en-AU" w:eastAsia="es-ES" w:bidi="ar-SA"/>
    </w:rPr>
  </w:style>
  <w:style w:type="character" w:customStyle="1" w:styleId="PMEHeading1Char">
    <w:name w:val="PME Heading 1 Char"/>
    <w:link w:val="PMEHeading1"/>
    <w:uiPriority w:val="99"/>
    <w:rsid w:val="00A75E6D"/>
    <w:rPr>
      <w:b/>
      <w:bCs/>
      <w:caps/>
      <w:kern w:val="28"/>
      <w:sz w:val="32"/>
      <w:szCs w:val="32"/>
      <w:lang w:val="en-AU" w:eastAsia="es-ES" w:bidi="ar-SA"/>
    </w:rPr>
  </w:style>
  <w:style w:type="character" w:customStyle="1" w:styleId="ICME-12Heading1Char">
    <w:name w:val="ICME-12 Heading 1 Char"/>
    <w:basedOn w:val="PMEHeading1Char"/>
    <w:link w:val="ICME-12Heading1"/>
    <w:rsid w:val="009F52CA"/>
    <w:rPr>
      <w:b/>
      <w:bCs/>
      <w:caps/>
      <w:kern w:val="28"/>
      <w:sz w:val="32"/>
      <w:szCs w:val="32"/>
      <w:lang w:val="en-AU" w:eastAsia="es-ES" w:bidi="ar-SA"/>
    </w:rPr>
  </w:style>
  <w:style w:type="paragraph" w:customStyle="1" w:styleId="ICMEHeading1">
    <w:name w:val="ICME Heading 1"/>
    <w:basedOn w:val="ICME-12Heading1"/>
    <w:link w:val="ICMEHeading1Char"/>
    <w:autoRedefine/>
    <w:qFormat/>
    <w:rsid w:val="009F52CA"/>
  </w:style>
  <w:style w:type="character" w:customStyle="1" w:styleId="ICMEabstractChar">
    <w:name w:val="ICME abstract Char"/>
    <w:link w:val="ICMEabstract"/>
    <w:rsid w:val="008F5C77"/>
    <w:rPr>
      <w:rFonts w:ascii="New York" w:eastAsia="Batang" w:hAnsi="New York"/>
      <w:i/>
      <w:sz w:val="24"/>
      <w:szCs w:val="24"/>
      <w:lang w:eastAsia="en-US"/>
    </w:rPr>
  </w:style>
  <w:style w:type="paragraph" w:customStyle="1" w:styleId="ICMENormal">
    <w:name w:val="ICME Normal"/>
    <w:basedOn w:val="PMENormal"/>
    <w:link w:val="ICMENormalChar"/>
    <w:autoRedefine/>
    <w:qFormat/>
    <w:rsid w:val="0058516E"/>
    <w:rPr>
      <w:iCs/>
      <w:color w:val="000000"/>
      <w:szCs w:val="24"/>
      <w:lang w:val="en-US" w:eastAsia="ko-KR"/>
    </w:rPr>
  </w:style>
  <w:style w:type="character" w:customStyle="1" w:styleId="ICMEHeading1Char">
    <w:name w:val="ICME Heading 1 Char"/>
    <w:basedOn w:val="ICME-12Heading1Char"/>
    <w:link w:val="ICMEHeading1"/>
    <w:rsid w:val="009F52CA"/>
    <w:rPr>
      <w:b/>
      <w:bCs/>
      <w:caps/>
      <w:kern w:val="28"/>
      <w:sz w:val="32"/>
      <w:szCs w:val="32"/>
      <w:lang w:val="en-AU" w:eastAsia="es-ES" w:bidi="ar-SA"/>
    </w:rPr>
  </w:style>
  <w:style w:type="paragraph" w:customStyle="1" w:styleId="ICMEHeading2">
    <w:name w:val="ICME Heading 2"/>
    <w:basedOn w:val="PMEHeading2"/>
    <w:link w:val="ICMEHeading2Char"/>
    <w:autoRedefine/>
    <w:qFormat/>
    <w:rsid w:val="00FC5DE0"/>
    <w:rPr>
      <w:rFonts w:eastAsia="Malgun Gothic"/>
    </w:rPr>
  </w:style>
  <w:style w:type="character" w:customStyle="1" w:styleId="ICMENormalChar">
    <w:name w:val="ICME Normal Char"/>
    <w:basedOn w:val="PMENormalChar"/>
    <w:link w:val="ICMENormal"/>
    <w:rsid w:val="0058516E"/>
    <w:rPr>
      <w:iCs/>
      <w:color w:val="000000"/>
      <w:sz w:val="26"/>
      <w:szCs w:val="24"/>
      <w:lang w:val="en-AU" w:eastAsia="es-ES" w:bidi="ar-SA"/>
    </w:rPr>
  </w:style>
  <w:style w:type="paragraph" w:customStyle="1" w:styleId="ICMEHeading3">
    <w:name w:val="ICME Heading 3"/>
    <w:basedOn w:val="PMEHeading3"/>
    <w:link w:val="ICMEHeading3Char"/>
    <w:autoRedefine/>
    <w:qFormat/>
    <w:rsid w:val="00E302CD"/>
  </w:style>
  <w:style w:type="character" w:customStyle="1" w:styleId="PMEHeading2Char">
    <w:name w:val="PME Heading 2 Char"/>
    <w:link w:val="PMEHeading2"/>
    <w:uiPriority w:val="99"/>
    <w:rsid w:val="00FC5DE0"/>
    <w:rPr>
      <w:b/>
      <w:bCs/>
      <w:caps/>
      <w:sz w:val="26"/>
      <w:szCs w:val="26"/>
      <w:lang w:val="en-AU" w:eastAsia="es-ES" w:bidi="ar-SA"/>
    </w:rPr>
  </w:style>
  <w:style w:type="character" w:customStyle="1" w:styleId="ICMEHeading2Char">
    <w:name w:val="ICME Heading 2 Char"/>
    <w:link w:val="ICMEHeading2"/>
    <w:rsid w:val="00FC5DE0"/>
    <w:rPr>
      <w:rFonts w:eastAsia="Malgun Gothic"/>
      <w:b/>
      <w:bCs/>
      <w:caps/>
      <w:sz w:val="26"/>
      <w:szCs w:val="26"/>
      <w:lang w:val="en-AU" w:eastAsia="es-ES" w:bidi="ar-SA"/>
    </w:rPr>
  </w:style>
  <w:style w:type="paragraph" w:customStyle="1" w:styleId="ICMETableTitle">
    <w:name w:val="ICME Table Title"/>
    <w:basedOn w:val="PMEFigTitle"/>
    <w:link w:val="ICMETableTitleChar"/>
    <w:autoRedefine/>
    <w:qFormat/>
    <w:rsid w:val="001237A9"/>
    <w:pPr>
      <w:spacing w:line="240" w:lineRule="auto"/>
    </w:pPr>
  </w:style>
  <w:style w:type="character" w:customStyle="1" w:styleId="PMEHeading3Char">
    <w:name w:val="PME Heading 3 Char"/>
    <w:link w:val="PMEHeading3"/>
    <w:uiPriority w:val="99"/>
    <w:rsid w:val="00FC5DE0"/>
    <w:rPr>
      <w:b/>
      <w:bCs/>
      <w:sz w:val="26"/>
      <w:szCs w:val="26"/>
      <w:lang w:val="en-AU" w:eastAsia="es-ES" w:bidi="ar-SA"/>
    </w:rPr>
  </w:style>
  <w:style w:type="character" w:customStyle="1" w:styleId="ICMEHeading3Char">
    <w:name w:val="ICME Heading 3 Char"/>
    <w:link w:val="ICMEHeading3"/>
    <w:rsid w:val="00E302CD"/>
    <w:rPr>
      <w:b/>
      <w:bCs/>
      <w:sz w:val="26"/>
      <w:szCs w:val="26"/>
      <w:lang w:val="en-AU" w:eastAsia="es-ES"/>
    </w:rPr>
  </w:style>
  <w:style w:type="paragraph" w:customStyle="1" w:styleId="ICMETable">
    <w:name w:val="ICME Table"/>
    <w:basedOn w:val="ICMETableTitle"/>
    <w:link w:val="ICMETableChar"/>
    <w:autoRedefine/>
    <w:qFormat/>
    <w:rsid w:val="001237A9"/>
  </w:style>
  <w:style w:type="character" w:customStyle="1" w:styleId="PMEFigTitleChar">
    <w:name w:val="PME FigTitle Char"/>
    <w:basedOn w:val="PMENormalChar"/>
    <w:link w:val="PMEFigTitle"/>
    <w:uiPriority w:val="99"/>
    <w:rsid w:val="001237A9"/>
    <w:rPr>
      <w:sz w:val="26"/>
      <w:szCs w:val="26"/>
      <w:lang w:val="en-AU" w:eastAsia="es-ES" w:bidi="ar-SA"/>
    </w:rPr>
  </w:style>
  <w:style w:type="character" w:customStyle="1" w:styleId="ICMETableTitleChar">
    <w:name w:val="ICME Table Title Char"/>
    <w:basedOn w:val="PMEFigTitleChar"/>
    <w:link w:val="ICMETableTitle"/>
    <w:rsid w:val="001237A9"/>
    <w:rPr>
      <w:sz w:val="26"/>
      <w:szCs w:val="26"/>
      <w:lang w:val="en-AU" w:eastAsia="es-ES" w:bidi="ar-SA"/>
    </w:rPr>
  </w:style>
  <w:style w:type="paragraph" w:customStyle="1" w:styleId="ICMETranscript">
    <w:name w:val="ICME Transcript"/>
    <w:basedOn w:val="PMETranscript"/>
    <w:link w:val="ICMETranscriptChar"/>
    <w:autoRedefine/>
    <w:qFormat/>
    <w:rsid w:val="000D36F4"/>
    <w:pPr>
      <w:ind w:hanging="1581"/>
    </w:pPr>
  </w:style>
  <w:style w:type="character" w:customStyle="1" w:styleId="ICMETableChar">
    <w:name w:val="ICME Table Char"/>
    <w:basedOn w:val="ICMETableTitleChar"/>
    <w:link w:val="ICMETable"/>
    <w:rsid w:val="001237A9"/>
    <w:rPr>
      <w:sz w:val="26"/>
      <w:szCs w:val="26"/>
      <w:lang w:val="en-AU" w:eastAsia="es-ES" w:bidi="ar-SA"/>
    </w:rPr>
  </w:style>
  <w:style w:type="paragraph" w:customStyle="1" w:styleId="ICMEQuote">
    <w:name w:val="ICME Quote"/>
    <w:basedOn w:val="PMEQuote"/>
    <w:link w:val="ICMEQuoteChar"/>
    <w:autoRedefine/>
    <w:qFormat/>
    <w:rsid w:val="000D36F4"/>
  </w:style>
  <w:style w:type="character" w:customStyle="1" w:styleId="PMETranscriptChar">
    <w:name w:val="PME Transcript Char"/>
    <w:basedOn w:val="PMENormalChar"/>
    <w:link w:val="PMETranscript"/>
    <w:uiPriority w:val="99"/>
    <w:rsid w:val="000D36F4"/>
    <w:rPr>
      <w:sz w:val="26"/>
      <w:szCs w:val="26"/>
      <w:lang w:val="en-AU" w:eastAsia="es-ES" w:bidi="ar-SA"/>
    </w:rPr>
  </w:style>
  <w:style w:type="character" w:customStyle="1" w:styleId="ICMETranscriptChar">
    <w:name w:val="ICME Transcript Char"/>
    <w:basedOn w:val="PMETranscriptChar"/>
    <w:link w:val="ICMETranscript"/>
    <w:rsid w:val="000D36F4"/>
    <w:rPr>
      <w:sz w:val="26"/>
      <w:szCs w:val="26"/>
      <w:lang w:val="en-AU" w:eastAsia="es-ES" w:bidi="ar-SA"/>
    </w:rPr>
  </w:style>
  <w:style w:type="paragraph" w:customStyle="1" w:styleId="ICMEBullet">
    <w:name w:val="ICME Bullet"/>
    <w:basedOn w:val="PMEBullet"/>
    <w:link w:val="ICMEBulletChar"/>
    <w:autoRedefine/>
    <w:qFormat/>
    <w:rsid w:val="00845CFA"/>
  </w:style>
  <w:style w:type="character" w:customStyle="1" w:styleId="PMEQuoteChar">
    <w:name w:val="PME Quote Char"/>
    <w:basedOn w:val="PMENormalChar"/>
    <w:link w:val="PMEQuote"/>
    <w:uiPriority w:val="99"/>
    <w:rsid w:val="000D36F4"/>
    <w:rPr>
      <w:sz w:val="26"/>
      <w:szCs w:val="26"/>
      <w:lang w:val="en-AU" w:eastAsia="es-ES" w:bidi="ar-SA"/>
    </w:rPr>
  </w:style>
  <w:style w:type="character" w:customStyle="1" w:styleId="ICMEQuoteChar">
    <w:name w:val="ICME Quote Char"/>
    <w:basedOn w:val="PMEQuoteChar"/>
    <w:link w:val="ICMEQuote"/>
    <w:rsid w:val="000D36F4"/>
    <w:rPr>
      <w:sz w:val="26"/>
      <w:szCs w:val="26"/>
      <w:lang w:val="en-AU" w:eastAsia="es-ES" w:bidi="ar-SA"/>
    </w:rPr>
  </w:style>
  <w:style w:type="paragraph" w:customStyle="1" w:styleId="ICMEFigureTitle">
    <w:name w:val="ICME Figure Title"/>
    <w:basedOn w:val="ICMETableTitle"/>
    <w:link w:val="ICMEFigureTitleChar"/>
    <w:autoRedefine/>
    <w:qFormat/>
    <w:rsid w:val="00825B88"/>
  </w:style>
  <w:style w:type="character" w:customStyle="1" w:styleId="PMEBulletChar">
    <w:name w:val="PME Bullet Char"/>
    <w:basedOn w:val="PMENormalChar"/>
    <w:link w:val="PMEBullet"/>
    <w:uiPriority w:val="99"/>
    <w:rsid w:val="00845CFA"/>
    <w:rPr>
      <w:sz w:val="26"/>
      <w:szCs w:val="26"/>
      <w:lang w:val="en-AU" w:eastAsia="es-ES" w:bidi="ar-SA"/>
    </w:rPr>
  </w:style>
  <w:style w:type="character" w:customStyle="1" w:styleId="ICMEBulletChar">
    <w:name w:val="ICME Bullet Char"/>
    <w:basedOn w:val="PMEBulletChar"/>
    <w:link w:val="ICMEBullet"/>
    <w:rsid w:val="00845CFA"/>
    <w:rPr>
      <w:sz w:val="26"/>
      <w:szCs w:val="26"/>
      <w:lang w:val="en-AU" w:eastAsia="es-ES" w:bidi="ar-SA"/>
    </w:rPr>
  </w:style>
  <w:style w:type="paragraph" w:customStyle="1" w:styleId="ICMEReference">
    <w:name w:val="ICME Reference"/>
    <w:basedOn w:val="PMEReferences"/>
    <w:link w:val="ICMEReferenceChar"/>
    <w:autoRedefine/>
    <w:qFormat/>
    <w:rsid w:val="00C5240A"/>
    <w:rPr>
      <w:noProof/>
      <w:color w:val="221E1F"/>
      <w:sz w:val="24"/>
      <w:szCs w:val="24"/>
      <w:lang w:val="en-GB"/>
    </w:rPr>
  </w:style>
  <w:style w:type="character" w:customStyle="1" w:styleId="ICMEFigureTitleChar">
    <w:name w:val="ICME Figure Title Char"/>
    <w:basedOn w:val="ICMETableTitleChar"/>
    <w:link w:val="ICMEFigureTitle"/>
    <w:rsid w:val="00825B88"/>
    <w:rPr>
      <w:sz w:val="26"/>
      <w:szCs w:val="26"/>
      <w:lang w:val="en-AU" w:eastAsia="es-ES" w:bidi="ar-SA"/>
    </w:rPr>
  </w:style>
  <w:style w:type="character" w:customStyle="1" w:styleId="PMEReferencesChar">
    <w:name w:val="PME References Char"/>
    <w:basedOn w:val="PMENormalChar"/>
    <w:link w:val="PMEReferences"/>
    <w:rsid w:val="00F677BE"/>
    <w:rPr>
      <w:sz w:val="26"/>
      <w:szCs w:val="26"/>
      <w:lang w:val="en-AU" w:eastAsia="es-ES" w:bidi="ar-SA"/>
    </w:rPr>
  </w:style>
  <w:style w:type="character" w:customStyle="1" w:styleId="ICMEReferenceChar">
    <w:name w:val="ICME Reference Char"/>
    <w:basedOn w:val="PMEReferencesChar"/>
    <w:link w:val="ICMEReference"/>
    <w:rsid w:val="00C5240A"/>
    <w:rPr>
      <w:noProof/>
      <w:color w:val="221E1F"/>
      <w:sz w:val="24"/>
      <w:szCs w:val="24"/>
      <w:lang w:val="en-GB" w:eastAsia="es-ES" w:bidi="ar-SA"/>
    </w:rPr>
  </w:style>
  <w:style w:type="paragraph" w:customStyle="1" w:styleId="surveynormal">
    <w:name w:val="survey normal"/>
    <w:basedOn w:val="PMENormal"/>
    <w:rsid w:val="00F07164"/>
    <w:rPr>
      <w:rFonts w:eastAsia="Times New Roman"/>
      <w:sz w:val="24"/>
      <w:szCs w:val="24"/>
      <w:lang w:eastAsia="zh-CN"/>
    </w:rPr>
  </w:style>
  <w:style w:type="paragraph" w:styleId="Textodebalo">
    <w:name w:val="Balloon Text"/>
    <w:basedOn w:val="Normal"/>
    <w:link w:val="TextodebaloChar"/>
    <w:uiPriority w:val="99"/>
    <w:semiHidden/>
    <w:unhideWhenUsed/>
    <w:rsid w:val="009654A0"/>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9654A0"/>
    <w:rPr>
      <w:rFonts w:ascii="Lucida Grande" w:hAnsi="Lucida Grande" w:cs="Lucida Grande"/>
      <w:sz w:val="18"/>
      <w:szCs w:val="18"/>
      <w:lang w:val="en-AU" w:eastAsia="es-ES"/>
    </w:rPr>
  </w:style>
  <w:style w:type="character" w:customStyle="1" w:styleId="Ttulo6Char">
    <w:name w:val="Título 6 Char"/>
    <w:basedOn w:val="Fontepargpadro"/>
    <w:link w:val="Ttulo6"/>
    <w:rsid w:val="009654A0"/>
    <w:rPr>
      <w:rFonts w:eastAsia="Times New Roman"/>
      <w:b/>
      <w:bCs/>
      <w:sz w:val="24"/>
      <w:szCs w:val="24"/>
      <w:lang w:val="pt-BR" w:eastAsia="ar-SA"/>
    </w:rPr>
  </w:style>
  <w:style w:type="paragraph" w:customStyle="1" w:styleId="CM3">
    <w:name w:val="CM3"/>
    <w:basedOn w:val="Normal"/>
    <w:next w:val="Normal"/>
    <w:uiPriority w:val="99"/>
    <w:rsid w:val="009654A0"/>
    <w:pPr>
      <w:spacing w:line="253" w:lineRule="atLeast"/>
    </w:pPr>
    <w:rPr>
      <w:rFonts w:ascii="Giovanni Black" w:eastAsia="Times New Roman" w:hAnsi="Giovanni Black"/>
      <w:lang w:eastAsia="en-US"/>
    </w:rPr>
  </w:style>
  <w:style w:type="paragraph" w:customStyle="1" w:styleId="Default">
    <w:name w:val="Default"/>
    <w:rsid w:val="009654A0"/>
    <w:pPr>
      <w:widowControl w:val="0"/>
      <w:autoSpaceDE w:val="0"/>
      <w:autoSpaceDN w:val="0"/>
      <w:adjustRightInd w:val="0"/>
    </w:pPr>
    <w:rPr>
      <w:rFonts w:ascii="Giovanni Black" w:eastAsia="Times New Roman" w:hAnsi="Giovanni Black" w:cs="Giovanni Black"/>
      <w:color w:val="000000"/>
      <w:sz w:val="24"/>
      <w:szCs w:val="24"/>
      <w:lang w:eastAsia="en-US"/>
    </w:rPr>
  </w:style>
  <w:style w:type="paragraph" w:styleId="PargrafodaLista">
    <w:name w:val="List Paragraph"/>
    <w:basedOn w:val="Normal"/>
    <w:uiPriority w:val="34"/>
    <w:qFormat/>
    <w:rsid w:val="009654A0"/>
    <w:pPr>
      <w:autoSpaceDE/>
      <w:autoSpaceDN/>
      <w:ind w:left="720"/>
      <w:contextualSpacing/>
    </w:pPr>
    <w:rPr>
      <w:rFonts w:eastAsiaTheme="minorEastAsia"/>
      <w:lang w:eastAsia="en-US"/>
    </w:rPr>
  </w:style>
  <w:style w:type="paragraph" w:styleId="Citao">
    <w:name w:val="Quote"/>
    <w:basedOn w:val="Normal"/>
    <w:next w:val="Normal"/>
    <w:link w:val="CitaoChar"/>
    <w:uiPriority w:val="29"/>
    <w:qFormat/>
    <w:rsid w:val="009654A0"/>
    <w:pPr>
      <w:autoSpaceDE/>
      <w:autoSpaceDN/>
    </w:pPr>
    <w:rPr>
      <w:rFonts w:eastAsiaTheme="minorEastAsia"/>
      <w:i/>
      <w:iCs/>
      <w:color w:val="000000" w:themeColor="text1"/>
      <w:lang w:eastAsia="en-US"/>
    </w:rPr>
  </w:style>
  <w:style w:type="character" w:customStyle="1" w:styleId="CitaoChar">
    <w:name w:val="Citação Char"/>
    <w:basedOn w:val="Fontepargpadro"/>
    <w:link w:val="Citao"/>
    <w:uiPriority w:val="29"/>
    <w:rsid w:val="009654A0"/>
    <w:rPr>
      <w:rFonts w:eastAsiaTheme="minorEastAsia"/>
      <w:i/>
      <w:iCs/>
      <w:color w:val="000000" w:themeColor="text1"/>
      <w:sz w:val="24"/>
      <w:szCs w:val="24"/>
      <w:lang w:val="en-AU" w:eastAsia="en-US"/>
    </w:rPr>
  </w:style>
  <w:style w:type="paragraph" w:customStyle="1" w:styleId="Squote">
    <w:name w:val="Squote"/>
    <w:basedOn w:val="Citao"/>
    <w:rsid w:val="009654A0"/>
    <w:pPr>
      <w:spacing w:before="120"/>
      <w:ind w:left="567" w:right="505"/>
    </w:pPr>
    <w:rPr>
      <w:i w:val="0"/>
      <w:sz w:val="20"/>
      <w:szCs w:val="20"/>
      <w:lang w:eastAsia="ja-JP"/>
    </w:rPr>
  </w:style>
  <w:style w:type="character" w:styleId="CitaoHTML">
    <w:name w:val="HTML Cite"/>
    <w:basedOn w:val="Fontepargpadro"/>
    <w:uiPriority w:val="99"/>
    <w:semiHidden/>
    <w:unhideWhenUsed/>
    <w:rsid w:val="009654A0"/>
    <w:rPr>
      <w:i/>
      <w:iCs/>
    </w:rPr>
  </w:style>
  <w:style w:type="paragraph" w:customStyle="1" w:styleId="ARTReference">
    <w:name w:val="ARTReference"/>
    <w:rsid w:val="009654A0"/>
    <w:pPr>
      <w:widowControl w:val="0"/>
      <w:ind w:left="360" w:hanging="360"/>
      <w:jc w:val="both"/>
    </w:pPr>
    <w:rPr>
      <w:rFonts w:ascii="Palatino" w:eastAsia="Times New Roman" w:hAnsi="Palatino"/>
      <w:sz w:val="18"/>
      <w:lang w:val="en-AU" w:eastAsia="en-US"/>
    </w:rPr>
  </w:style>
  <w:style w:type="paragraph" w:styleId="NormalWeb">
    <w:name w:val="Normal (Web)"/>
    <w:basedOn w:val="Normal"/>
    <w:uiPriority w:val="99"/>
    <w:rsid w:val="009654A0"/>
    <w:pPr>
      <w:autoSpaceDE/>
      <w:autoSpaceDN/>
      <w:spacing w:before="100" w:beforeAutospacing="1" w:after="100" w:afterAutospacing="1"/>
    </w:pPr>
    <w:rPr>
      <w:rFonts w:eastAsia="Times New Roman"/>
      <w:lang w:val="pt-BR" w:eastAsia="pt-BR"/>
    </w:rPr>
  </w:style>
  <w:style w:type="character" w:styleId="Forte">
    <w:name w:val="Strong"/>
    <w:qFormat/>
    <w:rsid w:val="009654A0"/>
    <w:rPr>
      <w:b/>
      <w:bCs/>
    </w:rPr>
  </w:style>
  <w:style w:type="character" w:customStyle="1" w:styleId="apple-style-span">
    <w:name w:val="apple-style-span"/>
    <w:basedOn w:val="Fontepargpadro"/>
    <w:rsid w:val="009654A0"/>
  </w:style>
  <w:style w:type="paragraph" w:styleId="Recuodecorpodetexto">
    <w:name w:val="Body Text Indent"/>
    <w:basedOn w:val="Normal"/>
    <w:link w:val="RecuodecorpodetextoChar"/>
    <w:rsid w:val="009654A0"/>
    <w:pPr>
      <w:suppressAutoHyphens/>
      <w:autoSpaceDE/>
      <w:autoSpaceDN/>
      <w:ind w:left="708"/>
    </w:pPr>
    <w:rPr>
      <w:rFonts w:eastAsia="Times New Roman"/>
      <w:i/>
      <w:szCs w:val="20"/>
      <w:lang w:val="pt-BR" w:eastAsia="ar-SA"/>
    </w:rPr>
  </w:style>
  <w:style w:type="character" w:customStyle="1" w:styleId="RecuodecorpodetextoChar">
    <w:name w:val="Recuo de corpo de texto Char"/>
    <w:basedOn w:val="Fontepargpadro"/>
    <w:link w:val="Recuodecorpodetexto"/>
    <w:rsid w:val="009654A0"/>
    <w:rPr>
      <w:rFonts w:eastAsia="Times New Roman"/>
      <w:i/>
      <w:sz w:val="28"/>
      <w:lang w:val="pt-BR" w:eastAsia="ar-SA"/>
    </w:rPr>
  </w:style>
  <w:style w:type="paragraph" w:customStyle="1" w:styleId="Corpodetexto22">
    <w:name w:val="Corpo de texto 22"/>
    <w:basedOn w:val="Normal"/>
    <w:rsid w:val="009654A0"/>
    <w:pPr>
      <w:suppressAutoHyphens/>
      <w:autoSpaceDE/>
      <w:autoSpaceDN/>
    </w:pPr>
    <w:rPr>
      <w:rFonts w:eastAsia="Times New Roman"/>
      <w:lang w:val="pt-BR" w:eastAsia="ar-SA"/>
    </w:rPr>
  </w:style>
  <w:style w:type="paragraph" w:customStyle="1" w:styleId="BodyTextIndent21">
    <w:name w:val="Body Text Indent 21"/>
    <w:basedOn w:val="Normal"/>
    <w:rsid w:val="009654A0"/>
    <w:pPr>
      <w:suppressAutoHyphens/>
      <w:autoSpaceDE/>
      <w:autoSpaceDN/>
      <w:ind w:left="708" w:firstLine="708"/>
    </w:pPr>
    <w:rPr>
      <w:rFonts w:eastAsia="Times New Roman"/>
      <w:sz w:val="20"/>
      <w:szCs w:val="20"/>
      <w:lang w:val="pt-BR" w:eastAsia="pt-BR" w:bidi="pt-BR"/>
    </w:rPr>
  </w:style>
  <w:style w:type="paragraph" w:customStyle="1" w:styleId="Heading31">
    <w:name w:val="Heading 31"/>
    <w:basedOn w:val="Normal"/>
    <w:next w:val="Normal"/>
    <w:rsid w:val="009654A0"/>
    <w:pPr>
      <w:keepNext/>
      <w:numPr>
        <w:ilvl w:val="2"/>
        <w:numId w:val="1"/>
      </w:numPr>
      <w:suppressAutoHyphens/>
      <w:autoSpaceDE/>
      <w:autoSpaceDN/>
      <w:spacing w:before="240" w:line="360" w:lineRule="auto"/>
      <w:jc w:val="right"/>
      <w:outlineLvl w:val="2"/>
    </w:pPr>
    <w:rPr>
      <w:rFonts w:ascii="Arial" w:eastAsia="Arial" w:hAnsi="Arial" w:cs="Arial"/>
      <w:b/>
      <w:bCs/>
      <w:sz w:val="26"/>
      <w:szCs w:val="26"/>
      <w:lang w:eastAsia="ar-SA"/>
    </w:rPr>
  </w:style>
  <w:style w:type="character" w:customStyle="1" w:styleId="style31">
    <w:name w:val="style31"/>
    <w:rsid w:val="009654A0"/>
    <w:rPr>
      <w:sz w:val="20"/>
      <w:szCs w:val="20"/>
    </w:rPr>
  </w:style>
  <w:style w:type="character" w:styleId="nfase">
    <w:name w:val="Emphasis"/>
    <w:basedOn w:val="Fontepargpadro"/>
    <w:uiPriority w:val="20"/>
    <w:qFormat/>
    <w:rsid w:val="009654A0"/>
    <w:rPr>
      <w:i/>
      <w:iCs/>
    </w:rPr>
  </w:style>
  <w:style w:type="paragraph" w:customStyle="1" w:styleId="bibliotexte">
    <w:name w:val="biblio texte"/>
    <w:basedOn w:val="Normal"/>
    <w:link w:val="bibliotexteCar"/>
    <w:rsid w:val="009654A0"/>
    <w:pPr>
      <w:autoSpaceDE/>
      <w:autoSpaceDN/>
      <w:spacing w:line="200" w:lineRule="exact"/>
    </w:pPr>
    <w:rPr>
      <w:rFonts w:eastAsia="Times New Roman"/>
      <w:sz w:val="18"/>
      <w:lang w:val="fr-FR" w:eastAsia="fr-FR"/>
    </w:rPr>
  </w:style>
  <w:style w:type="character" w:customStyle="1" w:styleId="biblionom">
    <w:name w:val="biblio nom"/>
    <w:basedOn w:val="Fontepargpadro"/>
    <w:rsid w:val="009654A0"/>
    <w:rPr>
      <w:smallCaps/>
    </w:rPr>
  </w:style>
  <w:style w:type="character" w:customStyle="1" w:styleId="bibliotexteCar">
    <w:name w:val="biblio texte Car"/>
    <w:basedOn w:val="Fontepargpadro"/>
    <w:link w:val="bibliotexte"/>
    <w:rsid w:val="009654A0"/>
    <w:rPr>
      <w:rFonts w:eastAsia="Times New Roman"/>
      <w:sz w:val="18"/>
      <w:szCs w:val="24"/>
      <w:lang w:val="fr-FR" w:eastAsia="fr-FR"/>
    </w:rPr>
  </w:style>
  <w:style w:type="character" w:customStyle="1" w:styleId="spipsurligne">
    <w:name w:val="spip_surligne"/>
    <w:basedOn w:val="Fontepargpadro"/>
    <w:rsid w:val="009654A0"/>
  </w:style>
  <w:style w:type="paragraph" w:customStyle="1" w:styleId="Surveyref">
    <w:name w:val="Survey ref"/>
    <w:basedOn w:val="Normal"/>
    <w:rsid w:val="009654A0"/>
    <w:pPr>
      <w:ind w:left="426" w:hanging="426"/>
    </w:pPr>
    <w:rPr>
      <w:rFonts w:eastAsiaTheme="minorEastAsia"/>
      <w:lang w:eastAsia="fr-FR"/>
    </w:rPr>
  </w:style>
  <w:style w:type="paragraph" w:customStyle="1" w:styleId="Pub-Title">
    <w:name w:val="Pub - Title"/>
    <w:basedOn w:val="Normal"/>
    <w:rsid w:val="009654A0"/>
    <w:pPr>
      <w:autoSpaceDE/>
      <w:autoSpaceDN/>
      <w:spacing w:before="240" w:line="360" w:lineRule="auto"/>
      <w:ind w:left="176"/>
    </w:pPr>
    <w:rPr>
      <w:rFonts w:ascii="Palatino" w:eastAsia="Times New Roman" w:hAnsi="Palatino"/>
      <w:b/>
      <w:sz w:val="36"/>
      <w:szCs w:val="36"/>
      <w:lang w:eastAsia="en-US"/>
    </w:rPr>
  </w:style>
  <w:style w:type="paragraph" w:customStyle="1" w:styleId="Deltareference">
    <w:name w:val="Delta reference"/>
    <w:basedOn w:val="Normal"/>
    <w:rsid w:val="009654A0"/>
    <w:pPr>
      <w:tabs>
        <w:tab w:val="left" w:pos="2880"/>
      </w:tabs>
      <w:autoSpaceDE/>
      <w:autoSpaceDN/>
      <w:ind w:left="709" w:right="45" w:hanging="709"/>
    </w:pPr>
    <w:rPr>
      <w:rFonts w:eastAsia="Times New Roman" w:cs="Tms Rmn"/>
      <w:szCs w:val="20"/>
      <w:lang w:val="en-GB" w:eastAsia="en-US"/>
    </w:rPr>
  </w:style>
  <w:style w:type="character" w:customStyle="1" w:styleId="Ttulo5Char">
    <w:name w:val="Título 5 Char"/>
    <w:basedOn w:val="Fontepargpadro"/>
    <w:link w:val="Ttulo5"/>
    <w:uiPriority w:val="9"/>
    <w:rsid w:val="00627F43"/>
    <w:rPr>
      <w:rFonts w:asciiTheme="majorHAnsi" w:eastAsiaTheme="majorEastAsia" w:hAnsiTheme="majorHAnsi" w:cstheme="majorBidi"/>
      <w:color w:val="243F60" w:themeColor="accent1" w:themeShade="7F"/>
      <w:sz w:val="28"/>
      <w:szCs w:val="28"/>
      <w:lang w:val="en-AU" w:eastAsia="es-ES"/>
    </w:rPr>
  </w:style>
  <w:style w:type="character" w:customStyle="1" w:styleId="st">
    <w:name w:val="st"/>
    <w:basedOn w:val="Fontepargpadro"/>
    <w:rsid w:val="001F5DCA"/>
  </w:style>
  <w:style w:type="character" w:styleId="RefernciaIntensa">
    <w:name w:val="Intense Reference"/>
    <w:basedOn w:val="Fontepargpadro"/>
    <w:uiPriority w:val="32"/>
    <w:qFormat/>
    <w:rsid w:val="00F93634"/>
    <w:rPr>
      <w:b/>
      <w:bCs/>
      <w:smallCaps/>
      <w:color w:val="C0504D" w:themeColor="accent2"/>
      <w:spacing w:val="5"/>
      <w:u w:val="single"/>
    </w:rPr>
  </w:style>
  <w:style w:type="character" w:customStyle="1" w:styleId="caps">
    <w:name w:val="caps"/>
    <w:basedOn w:val="Fontepargpadro"/>
    <w:rsid w:val="0050683E"/>
  </w:style>
  <w:style w:type="paragraph" w:customStyle="1" w:styleId="icmen">
    <w:name w:val="icme n"/>
    <w:basedOn w:val="Normal"/>
    <w:rsid w:val="00674DB5"/>
  </w:style>
  <w:style w:type="character" w:styleId="Refdecomentrio">
    <w:name w:val="annotation reference"/>
    <w:basedOn w:val="Fontepargpadro"/>
    <w:uiPriority w:val="99"/>
    <w:semiHidden/>
    <w:unhideWhenUsed/>
    <w:rsid w:val="00443854"/>
    <w:rPr>
      <w:sz w:val="18"/>
      <w:szCs w:val="18"/>
    </w:rPr>
  </w:style>
  <w:style w:type="paragraph" w:styleId="Textodecomentrio">
    <w:name w:val="annotation text"/>
    <w:basedOn w:val="Normal"/>
    <w:link w:val="TextodecomentrioChar"/>
    <w:uiPriority w:val="99"/>
    <w:semiHidden/>
    <w:unhideWhenUsed/>
    <w:rsid w:val="00443854"/>
  </w:style>
  <w:style w:type="character" w:customStyle="1" w:styleId="TextodecomentrioChar">
    <w:name w:val="Texto de comentário Char"/>
    <w:basedOn w:val="Fontepargpadro"/>
    <w:link w:val="Textodecomentrio"/>
    <w:uiPriority w:val="99"/>
    <w:semiHidden/>
    <w:rsid w:val="00443854"/>
    <w:rPr>
      <w:sz w:val="24"/>
      <w:szCs w:val="24"/>
    </w:rPr>
  </w:style>
  <w:style w:type="paragraph" w:styleId="Assuntodocomentrio">
    <w:name w:val="annotation subject"/>
    <w:basedOn w:val="Textodecomentrio"/>
    <w:next w:val="Textodecomentrio"/>
    <w:link w:val="AssuntodocomentrioChar"/>
    <w:uiPriority w:val="99"/>
    <w:semiHidden/>
    <w:unhideWhenUsed/>
    <w:rsid w:val="00443854"/>
    <w:rPr>
      <w:b/>
      <w:bCs/>
      <w:sz w:val="20"/>
      <w:szCs w:val="20"/>
    </w:rPr>
  </w:style>
  <w:style w:type="character" w:customStyle="1" w:styleId="AssuntodocomentrioChar">
    <w:name w:val="Assunto do comentário Char"/>
    <w:basedOn w:val="TextodecomentrioChar"/>
    <w:link w:val="Assuntodocomentrio"/>
    <w:uiPriority w:val="99"/>
    <w:semiHidden/>
    <w:rsid w:val="00443854"/>
    <w:rPr>
      <w:b/>
      <w:bCs/>
      <w:sz w:val="24"/>
      <w:szCs w:val="24"/>
    </w:rPr>
  </w:style>
  <w:style w:type="paragraph" w:customStyle="1" w:styleId="CONFReference">
    <w:name w:val="CONFReference"/>
    <w:basedOn w:val="Normal"/>
    <w:rsid w:val="006A6649"/>
    <w:pPr>
      <w:keepLines/>
      <w:widowControl/>
      <w:autoSpaceDE/>
      <w:autoSpaceDN/>
      <w:adjustRightInd/>
      <w:spacing w:before="80"/>
      <w:ind w:left="357" w:hanging="357"/>
      <w:jc w:val="both"/>
    </w:pPr>
    <w:rPr>
      <w:rFonts w:eastAsia="Times New Roman"/>
      <w:sz w:val="20"/>
      <w:szCs w:val="20"/>
      <w:lang w:val="en-AU" w:eastAsia="en-US"/>
    </w:rPr>
  </w:style>
  <w:style w:type="paragraph" w:styleId="Pr-formataoHTML">
    <w:name w:val="HTML Preformatted"/>
    <w:basedOn w:val="Normal"/>
    <w:link w:val="Pr-formataoHTMLChar"/>
    <w:uiPriority w:val="99"/>
    <w:unhideWhenUsed/>
    <w:rsid w:val="00946E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w:hAnsi="Courier" w:cs="Courier"/>
      <w:sz w:val="20"/>
      <w:szCs w:val="20"/>
      <w:lang w:val="en-AU" w:eastAsia="en-US"/>
    </w:rPr>
  </w:style>
  <w:style w:type="character" w:customStyle="1" w:styleId="Pr-formataoHTMLChar">
    <w:name w:val="Pré-formatação HTML Char"/>
    <w:basedOn w:val="Fontepargpadro"/>
    <w:link w:val="Pr-formataoHTML"/>
    <w:uiPriority w:val="99"/>
    <w:rsid w:val="00946E35"/>
    <w:rPr>
      <w:rFonts w:ascii="Courier" w:hAnsi="Courier" w:cs="Courier"/>
      <w:lang w:val="en-AU" w:eastAsia="en-US"/>
    </w:rPr>
  </w:style>
  <w:style w:type="paragraph" w:styleId="Textodenotaderodap">
    <w:name w:val="footnote text"/>
    <w:basedOn w:val="Normal"/>
    <w:link w:val="TextodenotaderodapChar"/>
    <w:uiPriority w:val="99"/>
    <w:unhideWhenUsed/>
    <w:rsid w:val="00EB6B46"/>
  </w:style>
  <w:style w:type="character" w:customStyle="1" w:styleId="TextodenotaderodapChar">
    <w:name w:val="Texto de nota de rodapé Char"/>
    <w:basedOn w:val="Fontepargpadro"/>
    <w:link w:val="Textodenotaderodap"/>
    <w:uiPriority w:val="99"/>
    <w:rsid w:val="00EB6B46"/>
    <w:rPr>
      <w:sz w:val="24"/>
      <w:szCs w:val="24"/>
    </w:rPr>
  </w:style>
  <w:style w:type="character" w:styleId="Refdenotaderodap">
    <w:name w:val="footnote reference"/>
    <w:basedOn w:val="Fontepargpadro"/>
    <w:uiPriority w:val="99"/>
    <w:unhideWhenUsed/>
    <w:rsid w:val="00EB6B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656B1"/>
    <w:pPr>
      <w:widowControl w:val="0"/>
      <w:autoSpaceDE w:val="0"/>
      <w:autoSpaceDN w:val="0"/>
      <w:adjustRightInd w:val="0"/>
    </w:pPr>
    <w:rPr>
      <w:sz w:val="24"/>
      <w:szCs w:val="24"/>
    </w:rPr>
  </w:style>
  <w:style w:type="paragraph" w:styleId="Ttulo1">
    <w:name w:val="heading 1"/>
    <w:basedOn w:val="Normal"/>
    <w:next w:val="Normal"/>
    <w:link w:val="Ttulo1Char"/>
    <w:uiPriority w:val="9"/>
    <w:qFormat/>
    <w:pPr>
      <w:keepNext/>
      <w:spacing w:line="400" w:lineRule="exact"/>
      <w:jc w:val="center"/>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qFormat/>
    <w:pPr>
      <w:keepNext/>
      <w:spacing w:before="120"/>
      <w:outlineLvl w:val="1"/>
    </w:pPr>
    <w:rPr>
      <w:rFonts w:ascii="Cambria" w:eastAsia="Times New Roman" w:hAnsi="Cambria"/>
      <w:b/>
      <w:bCs/>
      <w:i/>
      <w:iCs/>
    </w:rPr>
  </w:style>
  <w:style w:type="paragraph" w:styleId="Ttulo3">
    <w:name w:val="heading 3"/>
    <w:basedOn w:val="Normal"/>
    <w:next w:val="Normal"/>
    <w:link w:val="Ttulo3Char"/>
    <w:uiPriority w:val="9"/>
    <w:qFormat/>
    <w:pPr>
      <w:keepNext/>
      <w:outlineLvl w:val="2"/>
    </w:pPr>
    <w:rPr>
      <w:rFonts w:ascii="Cambria" w:eastAsia="Times New Roman" w:hAnsi="Cambria"/>
      <w:b/>
      <w:bCs/>
      <w:sz w:val="26"/>
      <w:szCs w:val="26"/>
    </w:rPr>
  </w:style>
  <w:style w:type="paragraph" w:styleId="Ttulo5">
    <w:name w:val="heading 5"/>
    <w:basedOn w:val="Normal"/>
    <w:next w:val="Normal"/>
    <w:link w:val="Ttulo5Char"/>
    <w:uiPriority w:val="9"/>
    <w:unhideWhenUsed/>
    <w:qFormat/>
    <w:rsid w:val="00627F43"/>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9654A0"/>
    <w:pPr>
      <w:keepNext/>
      <w:numPr>
        <w:ilvl w:val="5"/>
        <w:numId w:val="1"/>
      </w:numPr>
      <w:suppressAutoHyphens/>
      <w:autoSpaceDE/>
      <w:autoSpaceDN/>
      <w:ind w:left="709"/>
      <w:jc w:val="center"/>
      <w:outlineLvl w:val="5"/>
    </w:pPr>
    <w:rPr>
      <w:rFonts w:eastAsia="Times New Roman"/>
      <w:b/>
      <w:bCs/>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lang w:val="en-AU" w:eastAsia="es-ES"/>
    </w:rPr>
  </w:style>
  <w:style w:type="character" w:customStyle="1" w:styleId="Ttulo2Char">
    <w:name w:val="Título 2 Char"/>
    <w:link w:val="Ttulo2"/>
    <w:uiPriority w:val="9"/>
    <w:semiHidden/>
    <w:rPr>
      <w:rFonts w:ascii="Cambria" w:eastAsia="Times New Roman" w:hAnsi="Cambria" w:cs="Times New Roman"/>
      <w:b/>
      <w:bCs/>
      <w:i/>
      <w:iCs/>
      <w:sz w:val="28"/>
      <w:szCs w:val="28"/>
      <w:lang w:val="en-AU" w:eastAsia="es-ES"/>
    </w:rPr>
  </w:style>
  <w:style w:type="character" w:customStyle="1" w:styleId="Ttulo3Char">
    <w:name w:val="Título 3 Char"/>
    <w:link w:val="Ttulo3"/>
    <w:uiPriority w:val="9"/>
    <w:semiHidden/>
    <w:rPr>
      <w:rFonts w:ascii="Cambria" w:eastAsia="Times New Roman" w:hAnsi="Cambria" w:cs="Times New Roman"/>
      <w:b/>
      <w:bCs/>
      <w:sz w:val="26"/>
      <w:szCs w:val="26"/>
      <w:lang w:val="en-AU" w:eastAsia="es-ES"/>
    </w:rPr>
  </w:style>
  <w:style w:type="paragraph" w:customStyle="1" w:styleId="Endnote">
    <w:name w:val="Endnote"/>
    <w:basedOn w:val="Normal"/>
    <w:uiPriority w:val="99"/>
  </w:style>
  <w:style w:type="paragraph" w:styleId="Corpodetexto">
    <w:name w:val="Body Text"/>
    <w:basedOn w:val="Normal"/>
    <w:link w:val="CorpodetextoChar"/>
    <w:uiPriority w:val="99"/>
    <w:pPr>
      <w:ind w:right="-341"/>
    </w:pPr>
  </w:style>
  <w:style w:type="character" w:customStyle="1" w:styleId="CorpodetextoChar">
    <w:name w:val="Corpo de texto Char"/>
    <w:link w:val="Corpodetexto"/>
    <w:uiPriority w:val="99"/>
    <w:semiHidden/>
    <w:rPr>
      <w:sz w:val="28"/>
      <w:szCs w:val="28"/>
      <w:lang w:val="en-AU" w:eastAsia="es-ES"/>
    </w:rPr>
  </w:style>
  <w:style w:type="character" w:styleId="Hyperlink">
    <w:name w:val="Hyperlink"/>
    <w:uiPriority w:val="99"/>
    <w:rPr>
      <w:color w:val="0000FF"/>
      <w:u w:val="single"/>
    </w:rPr>
  </w:style>
  <w:style w:type="paragraph" w:styleId="MapadoDocumento">
    <w:name w:val="Document Map"/>
    <w:basedOn w:val="Normal"/>
    <w:link w:val="MapadoDocumentoChar"/>
    <w:uiPriority w:val="99"/>
    <w:semiHidden/>
    <w:pPr>
      <w:shd w:val="clear" w:color="auto" w:fill="000080"/>
    </w:pPr>
    <w:rPr>
      <w:rFonts w:ascii="Tahoma" w:hAnsi="Tahoma"/>
      <w:sz w:val="16"/>
      <w:szCs w:val="16"/>
    </w:rPr>
  </w:style>
  <w:style w:type="character" w:customStyle="1" w:styleId="MapadoDocumentoChar">
    <w:name w:val="Mapa do Documento Char"/>
    <w:link w:val="MapadoDocumento"/>
    <w:uiPriority w:val="99"/>
    <w:semiHidden/>
    <w:rPr>
      <w:rFonts w:ascii="Tahoma" w:hAnsi="Tahoma" w:cs="Tahoma"/>
      <w:sz w:val="16"/>
      <w:szCs w:val="16"/>
      <w:lang w:val="en-AU" w:eastAsia="es-ES"/>
    </w:rPr>
  </w:style>
  <w:style w:type="paragraph" w:customStyle="1" w:styleId="PMEAuthorInstitution">
    <w:name w:val="PME Author/Institution"/>
    <w:basedOn w:val="PMENormal"/>
    <w:uiPriority w:val="99"/>
    <w:pPr>
      <w:jc w:val="center"/>
    </w:pPr>
  </w:style>
  <w:style w:type="paragraph" w:customStyle="1" w:styleId="PMEAbstract">
    <w:name w:val="PME Abstract"/>
    <w:basedOn w:val="PMENormal"/>
    <w:uiPriority w:val="99"/>
    <w:rPr>
      <w:i/>
      <w:iCs/>
    </w:rPr>
  </w:style>
  <w:style w:type="paragraph" w:customStyle="1" w:styleId="PMENormal">
    <w:name w:val="PME Normal"/>
    <w:link w:val="PMENormalChar"/>
    <w:rsid w:val="00A070BC"/>
    <w:pPr>
      <w:autoSpaceDE w:val="0"/>
      <w:autoSpaceDN w:val="0"/>
      <w:spacing w:after="120" w:line="320" w:lineRule="atLeast"/>
      <w:jc w:val="both"/>
    </w:pPr>
    <w:rPr>
      <w:sz w:val="26"/>
      <w:szCs w:val="26"/>
      <w:lang w:val="en-AU" w:eastAsia="es-ES"/>
    </w:rPr>
  </w:style>
  <w:style w:type="paragraph" w:customStyle="1" w:styleId="PMEHeading1">
    <w:name w:val="PME Heading 1"/>
    <w:basedOn w:val="PMENormal"/>
    <w:link w:val="PMEHeading1Char"/>
    <w:uiPriority w:val="99"/>
    <w:pPr>
      <w:keepNext/>
      <w:spacing w:before="120"/>
      <w:jc w:val="center"/>
      <w:outlineLvl w:val="0"/>
    </w:pPr>
    <w:rPr>
      <w:b/>
      <w:bCs/>
      <w:caps/>
      <w:kern w:val="28"/>
      <w:sz w:val="32"/>
      <w:szCs w:val="32"/>
    </w:rPr>
  </w:style>
  <w:style w:type="paragraph" w:customStyle="1" w:styleId="PMEHeading2">
    <w:name w:val="PME Heading 2"/>
    <w:basedOn w:val="PMENormal"/>
    <w:next w:val="PMENormal"/>
    <w:link w:val="PMEHeading2Char"/>
    <w:uiPriority w:val="99"/>
    <w:pPr>
      <w:keepNext/>
      <w:spacing w:before="120"/>
      <w:jc w:val="left"/>
      <w:outlineLvl w:val="1"/>
    </w:pPr>
    <w:rPr>
      <w:b/>
      <w:bCs/>
      <w:caps/>
    </w:rPr>
  </w:style>
  <w:style w:type="paragraph" w:customStyle="1" w:styleId="PMEHeading3">
    <w:name w:val="PME Heading 3"/>
    <w:basedOn w:val="PMENormal"/>
    <w:next w:val="PMENormal"/>
    <w:link w:val="PMEHeading3Char"/>
    <w:uiPriority w:val="99"/>
    <w:pPr>
      <w:keepNext/>
      <w:jc w:val="left"/>
      <w:outlineLvl w:val="2"/>
    </w:pPr>
    <w:rPr>
      <w:b/>
      <w:bCs/>
    </w:rPr>
  </w:style>
  <w:style w:type="paragraph" w:customStyle="1" w:styleId="PMEQuote">
    <w:name w:val="PME Quote"/>
    <w:basedOn w:val="PMENormal"/>
    <w:next w:val="PMENormal"/>
    <w:link w:val="PMEQuoteChar"/>
    <w:uiPriority w:val="99"/>
    <w:pPr>
      <w:spacing w:line="260" w:lineRule="atLeast"/>
      <w:ind w:left="289"/>
    </w:pPr>
  </w:style>
  <w:style w:type="paragraph" w:customStyle="1" w:styleId="PMEFigTitle">
    <w:name w:val="PME FigTitle"/>
    <w:basedOn w:val="PMENormal"/>
    <w:next w:val="PMENormal"/>
    <w:link w:val="PMEFigTitleChar"/>
    <w:uiPriority w:val="99"/>
    <w:pPr>
      <w:spacing w:before="120"/>
      <w:jc w:val="center"/>
    </w:pPr>
  </w:style>
  <w:style w:type="paragraph" w:customStyle="1" w:styleId="PMENumberedtranscript">
    <w:name w:val="PME Numbered transcript"/>
    <w:basedOn w:val="PMENormal"/>
    <w:next w:val="PMENormal"/>
    <w:uiPriority w:val="99"/>
    <w:pPr>
      <w:tabs>
        <w:tab w:val="left" w:pos="992"/>
      </w:tabs>
      <w:spacing w:line="260" w:lineRule="exact"/>
      <w:ind w:left="1865" w:hanging="1440"/>
    </w:pPr>
  </w:style>
  <w:style w:type="paragraph" w:customStyle="1" w:styleId="PMETranscript">
    <w:name w:val="PME Transcript"/>
    <w:basedOn w:val="PMENormal"/>
    <w:next w:val="PMENormal"/>
    <w:link w:val="PMETranscriptChar"/>
    <w:uiPriority w:val="99"/>
    <w:pPr>
      <w:spacing w:line="260" w:lineRule="atLeast"/>
      <w:ind w:left="1865" w:hanging="1440"/>
    </w:pPr>
  </w:style>
  <w:style w:type="paragraph" w:customStyle="1" w:styleId="PMEReferences">
    <w:name w:val="PME References"/>
    <w:basedOn w:val="PMENormal"/>
    <w:link w:val="PMEReferencesChar"/>
    <w:pPr>
      <w:spacing w:line="260" w:lineRule="atLeast"/>
      <w:ind w:left="289" w:hanging="289"/>
    </w:pPr>
  </w:style>
  <w:style w:type="paragraph" w:customStyle="1" w:styleId="PMEBullet">
    <w:name w:val="PME Bullet"/>
    <w:basedOn w:val="PMENormal"/>
    <w:link w:val="PMEBulletChar"/>
    <w:uiPriority w:val="99"/>
    <w:rsid w:val="000D36F4"/>
    <w:pPr>
      <w:numPr>
        <w:numId w:val="4"/>
      </w:numPr>
      <w:tabs>
        <w:tab w:val="clear" w:pos="1145"/>
        <w:tab w:val="num" w:pos="709"/>
      </w:tabs>
      <w:spacing w:after="0"/>
      <w:ind w:left="709" w:hanging="425"/>
    </w:pPr>
  </w:style>
  <w:style w:type="paragraph" w:styleId="Cabealho">
    <w:name w:val="header"/>
    <w:basedOn w:val="Normal"/>
    <w:link w:val="CabealhoChar"/>
    <w:uiPriority w:val="99"/>
    <w:pPr>
      <w:tabs>
        <w:tab w:val="center" w:pos="4320"/>
        <w:tab w:val="right" w:pos="8640"/>
      </w:tabs>
    </w:pPr>
  </w:style>
  <w:style w:type="character" w:customStyle="1" w:styleId="CabealhoChar">
    <w:name w:val="Cabeçalho Char"/>
    <w:link w:val="Cabealho"/>
    <w:uiPriority w:val="99"/>
    <w:rPr>
      <w:sz w:val="28"/>
      <w:szCs w:val="28"/>
      <w:lang w:val="en-AU" w:eastAsia="es-ES"/>
    </w:rPr>
  </w:style>
  <w:style w:type="paragraph" w:styleId="Rodap">
    <w:name w:val="footer"/>
    <w:basedOn w:val="Normal"/>
    <w:link w:val="RodapChar"/>
    <w:uiPriority w:val="99"/>
    <w:pPr>
      <w:tabs>
        <w:tab w:val="center" w:pos="4320"/>
        <w:tab w:val="right" w:pos="8640"/>
      </w:tabs>
    </w:pPr>
  </w:style>
  <w:style w:type="character" w:customStyle="1" w:styleId="RodapChar">
    <w:name w:val="Rodapé Char"/>
    <w:link w:val="Rodap"/>
    <w:uiPriority w:val="99"/>
    <w:semiHidden/>
    <w:rPr>
      <w:sz w:val="28"/>
      <w:szCs w:val="28"/>
      <w:lang w:val="en-AU" w:eastAsia="es-ES"/>
    </w:rPr>
  </w:style>
  <w:style w:type="character" w:styleId="Nmerodepgina">
    <w:name w:val="page number"/>
    <w:basedOn w:val="Fontepargpadro"/>
    <w:uiPriority w:val="99"/>
  </w:style>
  <w:style w:type="character" w:styleId="HiperlinkVisitado">
    <w:name w:val="FollowedHyperlink"/>
    <w:uiPriority w:val="99"/>
    <w:semiHidden/>
    <w:unhideWhenUsed/>
    <w:rsid w:val="00CA211A"/>
    <w:rPr>
      <w:color w:val="800080"/>
      <w:u w:val="single"/>
    </w:rPr>
  </w:style>
  <w:style w:type="paragraph" w:customStyle="1" w:styleId="E0768D090ABB4831A8A820B640BB2A5C">
    <w:name w:val="E0768D090ABB4831A8A820B640BB2A5C"/>
    <w:rsid w:val="003977C8"/>
    <w:pPr>
      <w:spacing w:after="200" w:line="276" w:lineRule="auto"/>
    </w:pPr>
    <w:rPr>
      <w:rFonts w:ascii="Malgun Gothic" w:eastAsia="Malgun Gothic" w:hAnsi="Malgun Gothic"/>
      <w:sz w:val="22"/>
      <w:szCs w:val="22"/>
      <w:lang w:eastAsia="en-US"/>
    </w:rPr>
  </w:style>
  <w:style w:type="paragraph" w:styleId="TextosemFormatao">
    <w:name w:val="Plain Text"/>
    <w:basedOn w:val="Normal"/>
    <w:link w:val="TextosemFormataoChar"/>
    <w:rsid w:val="000C4B97"/>
    <w:rPr>
      <w:rFonts w:ascii="New York" w:eastAsia="Batang" w:hAnsi="New York"/>
      <w:sz w:val="21"/>
      <w:szCs w:val="21"/>
      <w:lang w:eastAsia="en-US"/>
    </w:rPr>
  </w:style>
  <w:style w:type="character" w:customStyle="1" w:styleId="TextosemFormataoChar">
    <w:name w:val="Texto sem Formatação Char"/>
    <w:link w:val="TextosemFormatao"/>
    <w:rsid w:val="000C4B97"/>
    <w:rPr>
      <w:rFonts w:ascii="New York" w:eastAsia="Batang" w:hAnsi="New York" w:cs="New York"/>
      <w:sz w:val="21"/>
      <w:szCs w:val="21"/>
      <w:lang w:eastAsia="en-US"/>
    </w:rPr>
  </w:style>
  <w:style w:type="paragraph" w:customStyle="1" w:styleId="ICME-12Heading1">
    <w:name w:val="ICME-12 Heading 1"/>
    <w:basedOn w:val="PMEHeading1"/>
    <w:link w:val="ICME-12Heading1Char"/>
    <w:autoRedefine/>
    <w:rsid w:val="009F52CA"/>
    <w:pPr>
      <w:spacing w:line="240" w:lineRule="auto"/>
    </w:pPr>
  </w:style>
  <w:style w:type="paragraph" w:customStyle="1" w:styleId="ICMEabstract">
    <w:name w:val="ICME abstract"/>
    <w:basedOn w:val="TextosemFormatao"/>
    <w:link w:val="ICMEabstractChar"/>
    <w:autoRedefine/>
    <w:qFormat/>
    <w:rsid w:val="008F5C77"/>
    <w:pPr>
      <w:jc w:val="both"/>
    </w:pPr>
    <w:rPr>
      <w:i/>
      <w:sz w:val="24"/>
      <w:szCs w:val="24"/>
    </w:rPr>
  </w:style>
  <w:style w:type="character" w:customStyle="1" w:styleId="PMENormalChar">
    <w:name w:val="PME Normal Char"/>
    <w:link w:val="PMENormal"/>
    <w:rsid w:val="00A070BC"/>
    <w:rPr>
      <w:sz w:val="26"/>
      <w:szCs w:val="26"/>
      <w:lang w:val="en-AU" w:eastAsia="es-ES" w:bidi="ar-SA"/>
    </w:rPr>
  </w:style>
  <w:style w:type="character" w:customStyle="1" w:styleId="PMEHeading1Char">
    <w:name w:val="PME Heading 1 Char"/>
    <w:link w:val="PMEHeading1"/>
    <w:uiPriority w:val="99"/>
    <w:rsid w:val="00A75E6D"/>
    <w:rPr>
      <w:b/>
      <w:bCs/>
      <w:caps/>
      <w:kern w:val="28"/>
      <w:sz w:val="32"/>
      <w:szCs w:val="32"/>
      <w:lang w:val="en-AU" w:eastAsia="es-ES" w:bidi="ar-SA"/>
    </w:rPr>
  </w:style>
  <w:style w:type="character" w:customStyle="1" w:styleId="ICME-12Heading1Char">
    <w:name w:val="ICME-12 Heading 1 Char"/>
    <w:basedOn w:val="PMEHeading1Char"/>
    <w:link w:val="ICME-12Heading1"/>
    <w:rsid w:val="009F52CA"/>
    <w:rPr>
      <w:b/>
      <w:bCs/>
      <w:caps/>
      <w:kern w:val="28"/>
      <w:sz w:val="32"/>
      <w:szCs w:val="32"/>
      <w:lang w:val="en-AU" w:eastAsia="es-ES" w:bidi="ar-SA"/>
    </w:rPr>
  </w:style>
  <w:style w:type="paragraph" w:customStyle="1" w:styleId="ICMEHeading1">
    <w:name w:val="ICME Heading 1"/>
    <w:basedOn w:val="ICME-12Heading1"/>
    <w:link w:val="ICMEHeading1Char"/>
    <w:autoRedefine/>
    <w:qFormat/>
    <w:rsid w:val="009F52CA"/>
  </w:style>
  <w:style w:type="character" w:customStyle="1" w:styleId="ICMEabstractChar">
    <w:name w:val="ICME abstract Char"/>
    <w:link w:val="ICMEabstract"/>
    <w:rsid w:val="008F5C77"/>
    <w:rPr>
      <w:rFonts w:ascii="New York" w:eastAsia="Batang" w:hAnsi="New York"/>
      <w:i/>
      <w:sz w:val="24"/>
      <w:szCs w:val="24"/>
      <w:lang w:eastAsia="en-US"/>
    </w:rPr>
  </w:style>
  <w:style w:type="paragraph" w:customStyle="1" w:styleId="ICMENormal">
    <w:name w:val="ICME Normal"/>
    <w:basedOn w:val="PMENormal"/>
    <w:link w:val="ICMENormalChar"/>
    <w:autoRedefine/>
    <w:qFormat/>
    <w:rsid w:val="0058516E"/>
    <w:rPr>
      <w:iCs/>
      <w:color w:val="000000"/>
      <w:szCs w:val="24"/>
      <w:lang w:val="en-US" w:eastAsia="ko-KR"/>
    </w:rPr>
  </w:style>
  <w:style w:type="character" w:customStyle="1" w:styleId="ICMEHeading1Char">
    <w:name w:val="ICME Heading 1 Char"/>
    <w:basedOn w:val="ICME-12Heading1Char"/>
    <w:link w:val="ICMEHeading1"/>
    <w:rsid w:val="009F52CA"/>
    <w:rPr>
      <w:b/>
      <w:bCs/>
      <w:caps/>
      <w:kern w:val="28"/>
      <w:sz w:val="32"/>
      <w:szCs w:val="32"/>
      <w:lang w:val="en-AU" w:eastAsia="es-ES" w:bidi="ar-SA"/>
    </w:rPr>
  </w:style>
  <w:style w:type="paragraph" w:customStyle="1" w:styleId="ICMEHeading2">
    <w:name w:val="ICME Heading 2"/>
    <w:basedOn w:val="PMEHeading2"/>
    <w:link w:val="ICMEHeading2Char"/>
    <w:autoRedefine/>
    <w:qFormat/>
    <w:rsid w:val="00FC5DE0"/>
    <w:rPr>
      <w:rFonts w:eastAsia="Malgun Gothic"/>
    </w:rPr>
  </w:style>
  <w:style w:type="character" w:customStyle="1" w:styleId="ICMENormalChar">
    <w:name w:val="ICME Normal Char"/>
    <w:basedOn w:val="PMENormalChar"/>
    <w:link w:val="ICMENormal"/>
    <w:rsid w:val="0058516E"/>
    <w:rPr>
      <w:iCs/>
      <w:color w:val="000000"/>
      <w:sz w:val="26"/>
      <w:szCs w:val="24"/>
      <w:lang w:val="en-AU" w:eastAsia="es-ES" w:bidi="ar-SA"/>
    </w:rPr>
  </w:style>
  <w:style w:type="paragraph" w:customStyle="1" w:styleId="ICMEHeading3">
    <w:name w:val="ICME Heading 3"/>
    <w:basedOn w:val="PMEHeading3"/>
    <w:link w:val="ICMEHeading3Char"/>
    <w:autoRedefine/>
    <w:qFormat/>
    <w:rsid w:val="00E302CD"/>
  </w:style>
  <w:style w:type="character" w:customStyle="1" w:styleId="PMEHeading2Char">
    <w:name w:val="PME Heading 2 Char"/>
    <w:link w:val="PMEHeading2"/>
    <w:uiPriority w:val="99"/>
    <w:rsid w:val="00FC5DE0"/>
    <w:rPr>
      <w:b/>
      <w:bCs/>
      <w:caps/>
      <w:sz w:val="26"/>
      <w:szCs w:val="26"/>
      <w:lang w:val="en-AU" w:eastAsia="es-ES" w:bidi="ar-SA"/>
    </w:rPr>
  </w:style>
  <w:style w:type="character" w:customStyle="1" w:styleId="ICMEHeading2Char">
    <w:name w:val="ICME Heading 2 Char"/>
    <w:link w:val="ICMEHeading2"/>
    <w:rsid w:val="00FC5DE0"/>
    <w:rPr>
      <w:rFonts w:eastAsia="Malgun Gothic"/>
      <w:b/>
      <w:bCs/>
      <w:caps/>
      <w:sz w:val="26"/>
      <w:szCs w:val="26"/>
      <w:lang w:val="en-AU" w:eastAsia="es-ES" w:bidi="ar-SA"/>
    </w:rPr>
  </w:style>
  <w:style w:type="paragraph" w:customStyle="1" w:styleId="ICMETableTitle">
    <w:name w:val="ICME Table Title"/>
    <w:basedOn w:val="PMEFigTitle"/>
    <w:link w:val="ICMETableTitleChar"/>
    <w:autoRedefine/>
    <w:qFormat/>
    <w:rsid w:val="001237A9"/>
    <w:pPr>
      <w:spacing w:line="240" w:lineRule="auto"/>
    </w:pPr>
  </w:style>
  <w:style w:type="character" w:customStyle="1" w:styleId="PMEHeading3Char">
    <w:name w:val="PME Heading 3 Char"/>
    <w:link w:val="PMEHeading3"/>
    <w:uiPriority w:val="99"/>
    <w:rsid w:val="00FC5DE0"/>
    <w:rPr>
      <w:b/>
      <w:bCs/>
      <w:sz w:val="26"/>
      <w:szCs w:val="26"/>
      <w:lang w:val="en-AU" w:eastAsia="es-ES" w:bidi="ar-SA"/>
    </w:rPr>
  </w:style>
  <w:style w:type="character" w:customStyle="1" w:styleId="ICMEHeading3Char">
    <w:name w:val="ICME Heading 3 Char"/>
    <w:link w:val="ICMEHeading3"/>
    <w:rsid w:val="00E302CD"/>
    <w:rPr>
      <w:b/>
      <w:bCs/>
      <w:sz w:val="26"/>
      <w:szCs w:val="26"/>
      <w:lang w:val="en-AU" w:eastAsia="es-ES"/>
    </w:rPr>
  </w:style>
  <w:style w:type="paragraph" w:customStyle="1" w:styleId="ICMETable">
    <w:name w:val="ICME Table"/>
    <w:basedOn w:val="ICMETableTitle"/>
    <w:link w:val="ICMETableChar"/>
    <w:autoRedefine/>
    <w:qFormat/>
    <w:rsid w:val="001237A9"/>
  </w:style>
  <w:style w:type="character" w:customStyle="1" w:styleId="PMEFigTitleChar">
    <w:name w:val="PME FigTitle Char"/>
    <w:basedOn w:val="PMENormalChar"/>
    <w:link w:val="PMEFigTitle"/>
    <w:uiPriority w:val="99"/>
    <w:rsid w:val="001237A9"/>
    <w:rPr>
      <w:sz w:val="26"/>
      <w:szCs w:val="26"/>
      <w:lang w:val="en-AU" w:eastAsia="es-ES" w:bidi="ar-SA"/>
    </w:rPr>
  </w:style>
  <w:style w:type="character" w:customStyle="1" w:styleId="ICMETableTitleChar">
    <w:name w:val="ICME Table Title Char"/>
    <w:basedOn w:val="PMEFigTitleChar"/>
    <w:link w:val="ICMETableTitle"/>
    <w:rsid w:val="001237A9"/>
    <w:rPr>
      <w:sz w:val="26"/>
      <w:szCs w:val="26"/>
      <w:lang w:val="en-AU" w:eastAsia="es-ES" w:bidi="ar-SA"/>
    </w:rPr>
  </w:style>
  <w:style w:type="paragraph" w:customStyle="1" w:styleId="ICMETranscript">
    <w:name w:val="ICME Transcript"/>
    <w:basedOn w:val="PMETranscript"/>
    <w:link w:val="ICMETranscriptChar"/>
    <w:autoRedefine/>
    <w:qFormat/>
    <w:rsid w:val="000D36F4"/>
    <w:pPr>
      <w:ind w:hanging="1581"/>
    </w:pPr>
  </w:style>
  <w:style w:type="character" w:customStyle="1" w:styleId="ICMETableChar">
    <w:name w:val="ICME Table Char"/>
    <w:basedOn w:val="ICMETableTitleChar"/>
    <w:link w:val="ICMETable"/>
    <w:rsid w:val="001237A9"/>
    <w:rPr>
      <w:sz w:val="26"/>
      <w:szCs w:val="26"/>
      <w:lang w:val="en-AU" w:eastAsia="es-ES" w:bidi="ar-SA"/>
    </w:rPr>
  </w:style>
  <w:style w:type="paragraph" w:customStyle="1" w:styleId="ICMEQuote">
    <w:name w:val="ICME Quote"/>
    <w:basedOn w:val="PMEQuote"/>
    <w:link w:val="ICMEQuoteChar"/>
    <w:autoRedefine/>
    <w:qFormat/>
    <w:rsid w:val="000D36F4"/>
  </w:style>
  <w:style w:type="character" w:customStyle="1" w:styleId="PMETranscriptChar">
    <w:name w:val="PME Transcript Char"/>
    <w:basedOn w:val="PMENormalChar"/>
    <w:link w:val="PMETranscript"/>
    <w:uiPriority w:val="99"/>
    <w:rsid w:val="000D36F4"/>
    <w:rPr>
      <w:sz w:val="26"/>
      <w:szCs w:val="26"/>
      <w:lang w:val="en-AU" w:eastAsia="es-ES" w:bidi="ar-SA"/>
    </w:rPr>
  </w:style>
  <w:style w:type="character" w:customStyle="1" w:styleId="ICMETranscriptChar">
    <w:name w:val="ICME Transcript Char"/>
    <w:basedOn w:val="PMETranscriptChar"/>
    <w:link w:val="ICMETranscript"/>
    <w:rsid w:val="000D36F4"/>
    <w:rPr>
      <w:sz w:val="26"/>
      <w:szCs w:val="26"/>
      <w:lang w:val="en-AU" w:eastAsia="es-ES" w:bidi="ar-SA"/>
    </w:rPr>
  </w:style>
  <w:style w:type="paragraph" w:customStyle="1" w:styleId="ICMEBullet">
    <w:name w:val="ICME Bullet"/>
    <w:basedOn w:val="PMEBullet"/>
    <w:link w:val="ICMEBulletChar"/>
    <w:autoRedefine/>
    <w:qFormat/>
    <w:rsid w:val="00845CFA"/>
  </w:style>
  <w:style w:type="character" w:customStyle="1" w:styleId="PMEQuoteChar">
    <w:name w:val="PME Quote Char"/>
    <w:basedOn w:val="PMENormalChar"/>
    <w:link w:val="PMEQuote"/>
    <w:uiPriority w:val="99"/>
    <w:rsid w:val="000D36F4"/>
    <w:rPr>
      <w:sz w:val="26"/>
      <w:szCs w:val="26"/>
      <w:lang w:val="en-AU" w:eastAsia="es-ES" w:bidi="ar-SA"/>
    </w:rPr>
  </w:style>
  <w:style w:type="character" w:customStyle="1" w:styleId="ICMEQuoteChar">
    <w:name w:val="ICME Quote Char"/>
    <w:basedOn w:val="PMEQuoteChar"/>
    <w:link w:val="ICMEQuote"/>
    <w:rsid w:val="000D36F4"/>
    <w:rPr>
      <w:sz w:val="26"/>
      <w:szCs w:val="26"/>
      <w:lang w:val="en-AU" w:eastAsia="es-ES" w:bidi="ar-SA"/>
    </w:rPr>
  </w:style>
  <w:style w:type="paragraph" w:customStyle="1" w:styleId="ICMEFigureTitle">
    <w:name w:val="ICME Figure Title"/>
    <w:basedOn w:val="ICMETableTitle"/>
    <w:link w:val="ICMEFigureTitleChar"/>
    <w:autoRedefine/>
    <w:qFormat/>
    <w:rsid w:val="00825B88"/>
  </w:style>
  <w:style w:type="character" w:customStyle="1" w:styleId="PMEBulletChar">
    <w:name w:val="PME Bullet Char"/>
    <w:basedOn w:val="PMENormalChar"/>
    <w:link w:val="PMEBullet"/>
    <w:uiPriority w:val="99"/>
    <w:rsid w:val="00845CFA"/>
    <w:rPr>
      <w:sz w:val="26"/>
      <w:szCs w:val="26"/>
      <w:lang w:val="en-AU" w:eastAsia="es-ES" w:bidi="ar-SA"/>
    </w:rPr>
  </w:style>
  <w:style w:type="character" w:customStyle="1" w:styleId="ICMEBulletChar">
    <w:name w:val="ICME Bullet Char"/>
    <w:basedOn w:val="PMEBulletChar"/>
    <w:link w:val="ICMEBullet"/>
    <w:rsid w:val="00845CFA"/>
    <w:rPr>
      <w:sz w:val="26"/>
      <w:szCs w:val="26"/>
      <w:lang w:val="en-AU" w:eastAsia="es-ES" w:bidi="ar-SA"/>
    </w:rPr>
  </w:style>
  <w:style w:type="paragraph" w:customStyle="1" w:styleId="ICMEReference">
    <w:name w:val="ICME Reference"/>
    <w:basedOn w:val="PMEReferences"/>
    <w:link w:val="ICMEReferenceChar"/>
    <w:autoRedefine/>
    <w:qFormat/>
    <w:rsid w:val="00C5240A"/>
    <w:rPr>
      <w:noProof/>
      <w:color w:val="221E1F"/>
      <w:sz w:val="24"/>
      <w:szCs w:val="24"/>
      <w:lang w:val="en-GB"/>
    </w:rPr>
  </w:style>
  <w:style w:type="character" w:customStyle="1" w:styleId="ICMEFigureTitleChar">
    <w:name w:val="ICME Figure Title Char"/>
    <w:basedOn w:val="ICMETableTitleChar"/>
    <w:link w:val="ICMEFigureTitle"/>
    <w:rsid w:val="00825B88"/>
    <w:rPr>
      <w:sz w:val="26"/>
      <w:szCs w:val="26"/>
      <w:lang w:val="en-AU" w:eastAsia="es-ES" w:bidi="ar-SA"/>
    </w:rPr>
  </w:style>
  <w:style w:type="character" w:customStyle="1" w:styleId="PMEReferencesChar">
    <w:name w:val="PME References Char"/>
    <w:basedOn w:val="PMENormalChar"/>
    <w:link w:val="PMEReferences"/>
    <w:rsid w:val="00F677BE"/>
    <w:rPr>
      <w:sz w:val="26"/>
      <w:szCs w:val="26"/>
      <w:lang w:val="en-AU" w:eastAsia="es-ES" w:bidi="ar-SA"/>
    </w:rPr>
  </w:style>
  <w:style w:type="character" w:customStyle="1" w:styleId="ICMEReferenceChar">
    <w:name w:val="ICME Reference Char"/>
    <w:basedOn w:val="PMEReferencesChar"/>
    <w:link w:val="ICMEReference"/>
    <w:rsid w:val="00C5240A"/>
    <w:rPr>
      <w:noProof/>
      <w:color w:val="221E1F"/>
      <w:sz w:val="24"/>
      <w:szCs w:val="24"/>
      <w:lang w:val="en-GB" w:eastAsia="es-ES" w:bidi="ar-SA"/>
    </w:rPr>
  </w:style>
  <w:style w:type="paragraph" w:customStyle="1" w:styleId="surveynormal">
    <w:name w:val="survey normal"/>
    <w:basedOn w:val="PMENormal"/>
    <w:rsid w:val="00F07164"/>
    <w:rPr>
      <w:rFonts w:eastAsia="Times New Roman"/>
      <w:sz w:val="24"/>
      <w:szCs w:val="24"/>
      <w:lang w:eastAsia="zh-CN"/>
    </w:rPr>
  </w:style>
  <w:style w:type="paragraph" w:styleId="Textodebalo">
    <w:name w:val="Balloon Text"/>
    <w:basedOn w:val="Normal"/>
    <w:link w:val="TextodebaloChar"/>
    <w:uiPriority w:val="99"/>
    <w:semiHidden/>
    <w:unhideWhenUsed/>
    <w:rsid w:val="009654A0"/>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9654A0"/>
    <w:rPr>
      <w:rFonts w:ascii="Lucida Grande" w:hAnsi="Lucida Grande" w:cs="Lucida Grande"/>
      <w:sz w:val="18"/>
      <w:szCs w:val="18"/>
      <w:lang w:val="en-AU" w:eastAsia="es-ES"/>
    </w:rPr>
  </w:style>
  <w:style w:type="character" w:customStyle="1" w:styleId="Ttulo6Char">
    <w:name w:val="Título 6 Char"/>
    <w:basedOn w:val="Fontepargpadro"/>
    <w:link w:val="Ttulo6"/>
    <w:rsid w:val="009654A0"/>
    <w:rPr>
      <w:rFonts w:eastAsia="Times New Roman"/>
      <w:b/>
      <w:bCs/>
      <w:sz w:val="24"/>
      <w:szCs w:val="24"/>
      <w:lang w:val="pt-BR" w:eastAsia="ar-SA"/>
    </w:rPr>
  </w:style>
  <w:style w:type="paragraph" w:customStyle="1" w:styleId="CM3">
    <w:name w:val="CM3"/>
    <w:basedOn w:val="Normal"/>
    <w:next w:val="Normal"/>
    <w:uiPriority w:val="99"/>
    <w:rsid w:val="009654A0"/>
    <w:pPr>
      <w:spacing w:line="253" w:lineRule="atLeast"/>
    </w:pPr>
    <w:rPr>
      <w:rFonts w:ascii="Giovanni Black" w:eastAsia="Times New Roman" w:hAnsi="Giovanni Black"/>
      <w:lang w:eastAsia="en-US"/>
    </w:rPr>
  </w:style>
  <w:style w:type="paragraph" w:customStyle="1" w:styleId="Default">
    <w:name w:val="Default"/>
    <w:rsid w:val="009654A0"/>
    <w:pPr>
      <w:widowControl w:val="0"/>
      <w:autoSpaceDE w:val="0"/>
      <w:autoSpaceDN w:val="0"/>
      <w:adjustRightInd w:val="0"/>
    </w:pPr>
    <w:rPr>
      <w:rFonts w:ascii="Giovanni Black" w:eastAsia="Times New Roman" w:hAnsi="Giovanni Black" w:cs="Giovanni Black"/>
      <w:color w:val="000000"/>
      <w:sz w:val="24"/>
      <w:szCs w:val="24"/>
      <w:lang w:eastAsia="en-US"/>
    </w:rPr>
  </w:style>
  <w:style w:type="paragraph" w:styleId="PargrafodaLista">
    <w:name w:val="List Paragraph"/>
    <w:basedOn w:val="Normal"/>
    <w:uiPriority w:val="34"/>
    <w:qFormat/>
    <w:rsid w:val="009654A0"/>
    <w:pPr>
      <w:autoSpaceDE/>
      <w:autoSpaceDN/>
      <w:ind w:left="720"/>
      <w:contextualSpacing/>
    </w:pPr>
    <w:rPr>
      <w:rFonts w:eastAsiaTheme="minorEastAsia"/>
      <w:lang w:eastAsia="en-US"/>
    </w:rPr>
  </w:style>
  <w:style w:type="paragraph" w:styleId="Citao">
    <w:name w:val="Quote"/>
    <w:basedOn w:val="Normal"/>
    <w:next w:val="Normal"/>
    <w:link w:val="CitaoChar"/>
    <w:uiPriority w:val="29"/>
    <w:qFormat/>
    <w:rsid w:val="009654A0"/>
    <w:pPr>
      <w:autoSpaceDE/>
      <w:autoSpaceDN/>
    </w:pPr>
    <w:rPr>
      <w:rFonts w:eastAsiaTheme="minorEastAsia"/>
      <w:i/>
      <w:iCs/>
      <w:color w:val="000000" w:themeColor="text1"/>
      <w:lang w:eastAsia="en-US"/>
    </w:rPr>
  </w:style>
  <w:style w:type="character" w:customStyle="1" w:styleId="CitaoChar">
    <w:name w:val="Citação Char"/>
    <w:basedOn w:val="Fontepargpadro"/>
    <w:link w:val="Citao"/>
    <w:uiPriority w:val="29"/>
    <w:rsid w:val="009654A0"/>
    <w:rPr>
      <w:rFonts w:eastAsiaTheme="minorEastAsia"/>
      <w:i/>
      <w:iCs/>
      <w:color w:val="000000" w:themeColor="text1"/>
      <w:sz w:val="24"/>
      <w:szCs w:val="24"/>
      <w:lang w:val="en-AU" w:eastAsia="en-US"/>
    </w:rPr>
  </w:style>
  <w:style w:type="paragraph" w:customStyle="1" w:styleId="Squote">
    <w:name w:val="Squote"/>
    <w:basedOn w:val="Citao"/>
    <w:rsid w:val="009654A0"/>
    <w:pPr>
      <w:spacing w:before="120"/>
      <w:ind w:left="567" w:right="505"/>
    </w:pPr>
    <w:rPr>
      <w:i w:val="0"/>
      <w:sz w:val="20"/>
      <w:szCs w:val="20"/>
      <w:lang w:eastAsia="ja-JP"/>
    </w:rPr>
  </w:style>
  <w:style w:type="character" w:styleId="CitaoHTML">
    <w:name w:val="HTML Cite"/>
    <w:basedOn w:val="Fontepargpadro"/>
    <w:uiPriority w:val="99"/>
    <w:semiHidden/>
    <w:unhideWhenUsed/>
    <w:rsid w:val="009654A0"/>
    <w:rPr>
      <w:i/>
      <w:iCs/>
    </w:rPr>
  </w:style>
  <w:style w:type="paragraph" w:customStyle="1" w:styleId="ARTReference">
    <w:name w:val="ARTReference"/>
    <w:rsid w:val="009654A0"/>
    <w:pPr>
      <w:widowControl w:val="0"/>
      <w:ind w:left="360" w:hanging="360"/>
      <w:jc w:val="both"/>
    </w:pPr>
    <w:rPr>
      <w:rFonts w:ascii="Palatino" w:eastAsia="Times New Roman" w:hAnsi="Palatino"/>
      <w:sz w:val="18"/>
      <w:lang w:val="en-AU" w:eastAsia="en-US"/>
    </w:rPr>
  </w:style>
  <w:style w:type="paragraph" w:styleId="NormalWeb">
    <w:name w:val="Normal (Web)"/>
    <w:basedOn w:val="Normal"/>
    <w:uiPriority w:val="99"/>
    <w:rsid w:val="009654A0"/>
    <w:pPr>
      <w:autoSpaceDE/>
      <w:autoSpaceDN/>
      <w:spacing w:before="100" w:beforeAutospacing="1" w:after="100" w:afterAutospacing="1"/>
    </w:pPr>
    <w:rPr>
      <w:rFonts w:eastAsia="Times New Roman"/>
      <w:lang w:val="pt-BR" w:eastAsia="pt-BR"/>
    </w:rPr>
  </w:style>
  <w:style w:type="character" w:styleId="Forte">
    <w:name w:val="Strong"/>
    <w:qFormat/>
    <w:rsid w:val="009654A0"/>
    <w:rPr>
      <w:b/>
      <w:bCs/>
    </w:rPr>
  </w:style>
  <w:style w:type="character" w:customStyle="1" w:styleId="apple-style-span">
    <w:name w:val="apple-style-span"/>
    <w:basedOn w:val="Fontepargpadro"/>
    <w:rsid w:val="009654A0"/>
  </w:style>
  <w:style w:type="paragraph" w:styleId="Recuodecorpodetexto">
    <w:name w:val="Body Text Indent"/>
    <w:basedOn w:val="Normal"/>
    <w:link w:val="RecuodecorpodetextoChar"/>
    <w:rsid w:val="009654A0"/>
    <w:pPr>
      <w:suppressAutoHyphens/>
      <w:autoSpaceDE/>
      <w:autoSpaceDN/>
      <w:ind w:left="708"/>
    </w:pPr>
    <w:rPr>
      <w:rFonts w:eastAsia="Times New Roman"/>
      <w:i/>
      <w:szCs w:val="20"/>
      <w:lang w:val="pt-BR" w:eastAsia="ar-SA"/>
    </w:rPr>
  </w:style>
  <w:style w:type="character" w:customStyle="1" w:styleId="RecuodecorpodetextoChar">
    <w:name w:val="Recuo de corpo de texto Char"/>
    <w:basedOn w:val="Fontepargpadro"/>
    <w:link w:val="Recuodecorpodetexto"/>
    <w:rsid w:val="009654A0"/>
    <w:rPr>
      <w:rFonts w:eastAsia="Times New Roman"/>
      <w:i/>
      <w:sz w:val="28"/>
      <w:lang w:val="pt-BR" w:eastAsia="ar-SA"/>
    </w:rPr>
  </w:style>
  <w:style w:type="paragraph" w:customStyle="1" w:styleId="Corpodetexto22">
    <w:name w:val="Corpo de texto 22"/>
    <w:basedOn w:val="Normal"/>
    <w:rsid w:val="009654A0"/>
    <w:pPr>
      <w:suppressAutoHyphens/>
      <w:autoSpaceDE/>
      <w:autoSpaceDN/>
    </w:pPr>
    <w:rPr>
      <w:rFonts w:eastAsia="Times New Roman"/>
      <w:lang w:val="pt-BR" w:eastAsia="ar-SA"/>
    </w:rPr>
  </w:style>
  <w:style w:type="paragraph" w:customStyle="1" w:styleId="BodyTextIndent21">
    <w:name w:val="Body Text Indent 21"/>
    <w:basedOn w:val="Normal"/>
    <w:rsid w:val="009654A0"/>
    <w:pPr>
      <w:suppressAutoHyphens/>
      <w:autoSpaceDE/>
      <w:autoSpaceDN/>
      <w:ind w:left="708" w:firstLine="708"/>
    </w:pPr>
    <w:rPr>
      <w:rFonts w:eastAsia="Times New Roman"/>
      <w:sz w:val="20"/>
      <w:szCs w:val="20"/>
      <w:lang w:val="pt-BR" w:eastAsia="pt-BR" w:bidi="pt-BR"/>
    </w:rPr>
  </w:style>
  <w:style w:type="paragraph" w:customStyle="1" w:styleId="Heading31">
    <w:name w:val="Heading 31"/>
    <w:basedOn w:val="Normal"/>
    <w:next w:val="Normal"/>
    <w:rsid w:val="009654A0"/>
    <w:pPr>
      <w:keepNext/>
      <w:numPr>
        <w:ilvl w:val="2"/>
        <w:numId w:val="1"/>
      </w:numPr>
      <w:suppressAutoHyphens/>
      <w:autoSpaceDE/>
      <w:autoSpaceDN/>
      <w:spacing w:before="240" w:line="360" w:lineRule="auto"/>
      <w:jc w:val="right"/>
      <w:outlineLvl w:val="2"/>
    </w:pPr>
    <w:rPr>
      <w:rFonts w:ascii="Arial" w:eastAsia="Arial" w:hAnsi="Arial" w:cs="Arial"/>
      <w:b/>
      <w:bCs/>
      <w:sz w:val="26"/>
      <w:szCs w:val="26"/>
      <w:lang w:eastAsia="ar-SA"/>
    </w:rPr>
  </w:style>
  <w:style w:type="character" w:customStyle="1" w:styleId="style31">
    <w:name w:val="style31"/>
    <w:rsid w:val="009654A0"/>
    <w:rPr>
      <w:sz w:val="20"/>
      <w:szCs w:val="20"/>
    </w:rPr>
  </w:style>
  <w:style w:type="character" w:styleId="nfase">
    <w:name w:val="Emphasis"/>
    <w:basedOn w:val="Fontepargpadro"/>
    <w:uiPriority w:val="20"/>
    <w:qFormat/>
    <w:rsid w:val="009654A0"/>
    <w:rPr>
      <w:i/>
      <w:iCs/>
    </w:rPr>
  </w:style>
  <w:style w:type="paragraph" w:customStyle="1" w:styleId="bibliotexte">
    <w:name w:val="biblio texte"/>
    <w:basedOn w:val="Normal"/>
    <w:link w:val="bibliotexteCar"/>
    <w:rsid w:val="009654A0"/>
    <w:pPr>
      <w:autoSpaceDE/>
      <w:autoSpaceDN/>
      <w:spacing w:line="200" w:lineRule="exact"/>
    </w:pPr>
    <w:rPr>
      <w:rFonts w:eastAsia="Times New Roman"/>
      <w:sz w:val="18"/>
      <w:lang w:val="fr-FR" w:eastAsia="fr-FR"/>
    </w:rPr>
  </w:style>
  <w:style w:type="character" w:customStyle="1" w:styleId="biblionom">
    <w:name w:val="biblio nom"/>
    <w:basedOn w:val="Fontepargpadro"/>
    <w:rsid w:val="009654A0"/>
    <w:rPr>
      <w:smallCaps/>
    </w:rPr>
  </w:style>
  <w:style w:type="character" w:customStyle="1" w:styleId="bibliotexteCar">
    <w:name w:val="biblio texte Car"/>
    <w:basedOn w:val="Fontepargpadro"/>
    <w:link w:val="bibliotexte"/>
    <w:rsid w:val="009654A0"/>
    <w:rPr>
      <w:rFonts w:eastAsia="Times New Roman"/>
      <w:sz w:val="18"/>
      <w:szCs w:val="24"/>
      <w:lang w:val="fr-FR" w:eastAsia="fr-FR"/>
    </w:rPr>
  </w:style>
  <w:style w:type="character" w:customStyle="1" w:styleId="spipsurligne">
    <w:name w:val="spip_surligne"/>
    <w:basedOn w:val="Fontepargpadro"/>
    <w:rsid w:val="009654A0"/>
  </w:style>
  <w:style w:type="paragraph" w:customStyle="1" w:styleId="Surveyref">
    <w:name w:val="Survey ref"/>
    <w:basedOn w:val="Normal"/>
    <w:rsid w:val="009654A0"/>
    <w:pPr>
      <w:ind w:left="426" w:hanging="426"/>
    </w:pPr>
    <w:rPr>
      <w:rFonts w:eastAsiaTheme="minorEastAsia"/>
      <w:lang w:eastAsia="fr-FR"/>
    </w:rPr>
  </w:style>
  <w:style w:type="paragraph" w:customStyle="1" w:styleId="Pub-Title">
    <w:name w:val="Pub - Title"/>
    <w:basedOn w:val="Normal"/>
    <w:rsid w:val="009654A0"/>
    <w:pPr>
      <w:autoSpaceDE/>
      <w:autoSpaceDN/>
      <w:spacing w:before="240" w:line="360" w:lineRule="auto"/>
      <w:ind w:left="176"/>
    </w:pPr>
    <w:rPr>
      <w:rFonts w:ascii="Palatino" w:eastAsia="Times New Roman" w:hAnsi="Palatino"/>
      <w:b/>
      <w:sz w:val="36"/>
      <w:szCs w:val="36"/>
      <w:lang w:eastAsia="en-US"/>
    </w:rPr>
  </w:style>
  <w:style w:type="paragraph" w:customStyle="1" w:styleId="Deltareference">
    <w:name w:val="Delta reference"/>
    <w:basedOn w:val="Normal"/>
    <w:rsid w:val="009654A0"/>
    <w:pPr>
      <w:tabs>
        <w:tab w:val="left" w:pos="2880"/>
      </w:tabs>
      <w:autoSpaceDE/>
      <w:autoSpaceDN/>
      <w:ind w:left="709" w:right="45" w:hanging="709"/>
    </w:pPr>
    <w:rPr>
      <w:rFonts w:eastAsia="Times New Roman" w:cs="Tms Rmn"/>
      <w:szCs w:val="20"/>
      <w:lang w:val="en-GB" w:eastAsia="en-US"/>
    </w:rPr>
  </w:style>
  <w:style w:type="character" w:customStyle="1" w:styleId="Ttulo5Char">
    <w:name w:val="Título 5 Char"/>
    <w:basedOn w:val="Fontepargpadro"/>
    <w:link w:val="Ttulo5"/>
    <w:uiPriority w:val="9"/>
    <w:rsid w:val="00627F43"/>
    <w:rPr>
      <w:rFonts w:asciiTheme="majorHAnsi" w:eastAsiaTheme="majorEastAsia" w:hAnsiTheme="majorHAnsi" w:cstheme="majorBidi"/>
      <w:color w:val="243F60" w:themeColor="accent1" w:themeShade="7F"/>
      <w:sz w:val="28"/>
      <w:szCs w:val="28"/>
      <w:lang w:val="en-AU" w:eastAsia="es-ES"/>
    </w:rPr>
  </w:style>
  <w:style w:type="character" w:customStyle="1" w:styleId="st">
    <w:name w:val="st"/>
    <w:basedOn w:val="Fontepargpadro"/>
    <w:rsid w:val="001F5DCA"/>
  </w:style>
  <w:style w:type="character" w:styleId="RefernciaIntensa">
    <w:name w:val="Intense Reference"/>
    <w:basedOn w:val="Fontepargpadro"/>
    <w:uiPriority w:val="32"/>
    <w:qFormat/>
    <w:rsid w:val="00F93634"/>
    <w:rPr>
      <w:b/>
      <w:bCs/>
      <w:smallCaps/>
      <w:color w:val="C0504D" w:themeColor="accent2"/>
      <w:spacing w:val="5"/>
      <w:u w:val="single"/>
    </w:rPr>
  </w:style>
  <w:style w:type="character" w:customStyle="1" w:styleId="caps">
    <w:name w:val="caps"/>
    <w:basedOn w:val="Fontepargpadro"/>
    <w:rsid w:val="0050683E"/>
  </w:style>
  <w:style w:type="paragraph" w:customStyle="1" w:styleId="icmen">
    <w:name w:val="icme n"/>
    <w:basedOn w:val="Normal"/>
    <w:rsid w:val="00674DB5"/>
  </w:style>
  <w:style w:type="character" w:styleId="Refdecomentrio">
    <w:name w:val="annotation reference"/>
    <w:basedOn w:val="Fontepargpadro"/>
    <w:uiPriority w:val="99"/>
    <w:semiHidden/>
    <w:unhideWhenUsed/>
    <w:rsid w:val="00443854"/>
    <w:rPr>
      <w:sz w:val="18"/>
      <w:szCs w:val="18"/>
    </w:rPr>
  </w:style>
  <w:style w:type="paragraph" w:styleId="Textodecomentrio">
    <w:name w:val="annotation text"/>
    <w:basedOn w:val="Normal"/>
    <w:link w:val="TextodecomentrioChar"/>
    <w:uiPriority w:val="99"/>
    <w:semiHidden/>
    <w:unhideWhenUsed/>
    <w:rsid w:val="00443854"/>
  </w:style>
  <w:style w:type="character" w:customStyle="1" w:styleId="TextodecomentrioChar">
    <w:name w:val="Texto de comentário Char"/>
    <w:basedOn w:val="Fontepargpadro"/>
    <w:link w:val="Textodecomentrio"/>
    <w:uiPriority w:val="99"/>
    <w:semiHidden/>
    <w:rsid w:val="00443854"/>
    <w:rPr>
      <w:sz w:val="24"/>
      <w:szCs w:val="24"/>
    </w:rPr>
  </w:style>
  <w:style w:type="paragraph" w:styleId="Assuntodocomentrio">
    <w:name w:val="annotation subject"/>
    <w:basedOn w:val="Textodecomentrio"/>
    <w:next w:val="Textodecomentrio"/>
    <w:link w:val="AssuntodocomentrioChar"/>
    <w:uiPriority w:val="99"/>
    <w:semiHidden/>
    <w:unhideWhenUsed/>
    <w:rsid w:val="00443854"/>
    <w:rPr>
      <w:b/>
      <w:bCs/>
      <w:sz w:val="20"/>
      <w:szCs w:val="20"/>
    </w:rPr>
  </w:style>
  <w:style w:type="character" w:customStyle="1" w:styleId="AssuntodocomentrioChar">
    <w:name w:val="Assunto do comentário Char"/>
    <w:basedOn w:val="TextodecomentrioChar"/>
    <w:link w:val="Assuntodocomentrio"/>
    <w:uiPriority w:val="99"/>
    <w:semiHidden/>
    <w:rsid w:val="00443854"/>
    <w:rPr>
      <w:b/>
      <w:bCs/>
      <w:sz w:val="24"/>
      <w:szCs w:val="24"/>
    </w:rPr>
  </w:style>
  <w:style w:type="paragraph" w:customStyle="1" w:styleId="CONFReference">
    <w:name w:val="CONFReference"/>
    <w:basedOn w:val="Normal"/>
    <w:rsid w:val="006A6649"/>
    <w:pPr>
      <w:keepLines/>
      <w:widowControl/>
      <w:autoSpaceDE/>
      <w:autoSpaceDN/>
      <w:adjustRightInd/>
      <w:spacing w:before="80"/>
      <w:ind w:left="357" w:hanging="357"/>
      <w:jc w:val="both"/>
    </w:pPr>
    <w:rPr>
      <w:rFonts w:eastAsia="Times New Roman"/>
      <w:sz w:val="20"/>
      <w:szCs w:val="20"/>
      <w:lang w:val="en-AU" w:eastAsia="en-US"/>
    </w:rPr>
  </w:style>
  <w:style w:type="paragraph" w:styleId="Pr-formataoHTML">
    <w:name w:val="HTML Preformatted"/>
    <w:basedOn w:val="Normal"/>
    <w:link w:val="Pr-formataoHTMLChar"/>
    <w:uiPriority w:val="99"/>
    <w:unhideWhenUsed/>
    <w:rsid w:val="00946E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w:hAnsi="Courier" w:cs="Courier"/>
      <w:sz w:val="20"/>
      <w:szCs w:val="20"/>
      <w:lang w:val="en-AU" w:eastAsia="en-US"/>
    </w:rPr>
  </w:style>
  <w:style w:type="character" w:customStyle="1" w:styleId="Pr-formataoHTMLChar">
    <w:name w:val="Pré-formatação HTML Char"/>
    <w:basedOn w:val="Fontepargpadro"/>
    <w:link w:val="Pr-formataoHTML"/>
    <w:uiPriority w:val="99"/>
    <w:rsid w:val="00946E35"/>
    <w:rPr>
      <w:rFonts w:ascii="Courier" w:hAnsi="Courier" w:cs="Courier"/>
      <w:lang w:val="en-AU" w:eastAsia="en-US"/>
    </w:rPr>
  </w:style>
  <w:style w:type="paragraph" w:styleId="Textodenotaderodap">
    <w:name w:val="footnote text"/>
    <w:basedOn w:val="Normal"/>
    <w:link w:val="TextodenotaderodapChar"/>
    <w:uiPriority w:val="99"/>
    <w:unhideWhenUsed/>
    <w:rsid w:val="00EB6B46"/>
  </w:style>
  <w:style w:type="character" w:customStyle="1" w:styleId="TextodenotaderodapChar">
    <w:name w:val="Texto de nota de rodapé Char"/>
    <w:basedOn w:val="Fontepargpadro"/>
    <w:link w:val="Textodenotaderodap"/>
    <w:uiPriority w:val="99"/>
    <w:rsid w:val="00EB6B46"/>
    <w:rPr>
      <w:sz w:val="24"/>
      <w:szCs w:val="24"/>
    </w:rPr>
  </w:style>
  <w:style w:type="character" w:styleId="Refdenotaderodap">
    <w:name w:val="footnote reference"/>
    <w:basedOn w:val="Fontepargpadro"/>
    <w:uiPriority w:val="99"/>
    <w:unhideWhenUsed/>
    <w:rsid w:val="00EB6B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47190">
      <w:bodyDiv w:val="1"/>
      <w:marLeft w:val="0"/>
      <w:marRight w:val="0"/>
      <w:marTop w:val="0"/>
      <w:marBottom w:val="0"/>
      <w:divBdr>
        <w:top w:val="none" w:sz="0" w:space="0" w:color="auto"/>
        <w:left w:val="none" w:sz="0" w:space="0" w:color="auto"/>
        <w:bottom w:val="none" w:sz="0" w:space="0" w:color="auto"/>
        <w:right w:val="none" w:sz="0" w:space="0" w:color="auto"/>
      </w:divBdr>
    </w:div>
    <w:div w:id="460340842">
      <w:bodyDiv w:val="1"/>
      <w:marLeft w:val="0"/>
      <w:marRight w:val="0"/>
      <w:marTop w:val="0"/>
      <w:marBottom w:val="0"/>
      <w:divBdr>
        <w:top w:val="none" w:sz="0" w:space="0" w:color="auto"/>
        <w:left w:val="none" w:sz="0" w:space="0" w:color="auto"/>
        <w:bottom w:val="none" w:sz="0" w:space="0" w:color="auto"/>
        <w:right w:val="none" w:sz="0" w:space="0" w:color="auto"/>
      </w:divBdr>
    </w:div>
    <w:div w:id="677393784">
      <w:bodyDiv w:val="1"/>
      <w:marLeft w:val="0"/>
      <w:marRight w:val="0"/>
      <w:marTop w:val="0"/>
      <w:marBottom w:val="0"/>
      <w:divBdr>
        <w:top w:val="none" w:sz="0" w:space="0" w:color="auto"/>
        <w:left w:val="none" w:sz="0" w:space="0" w:color="auto"/>
        <w:bottom w:val="none" w:sz="0" w:space="0" w:color="auto"/>
        <w:right w:val="none" w:sz="0" w:space="0" w:color="auto"/>
      </w:divBdr>
    </w:div>
    <w:div w:id="764887847">
      <w:bodyDiv w:val="1"/>
      <w:marLeft w:val="0"/>
      <w:marRight w:val="0"/>
      <w:marTop w:val="0"/>
      <w:marBottom w:val="0"/>
      <w:divBdr>
        <w:top w:val="none" w:sz="0" w:space="0" w:color="auto"/>
        <w:left w:val="none" w:sz="0" w:space="0" w:color="auto"/>
        <w:bottom w:val="none" w:sz="0" w:space="0" w:color="auto"/>
        <w:right w:val="none" w:sz="0" w:space="0" w:color="auto"/>
      </w:divBdr>
    </w:div>
    <w:div w:id="1379434432">
      <w:bodyDiv w:val="1"/>
      <w:marLeft w:val="0"/>
      <w:marRight w:val="0"/>
      <w:marTop w:val="0"/>
      <w:marBottom w:val="0"/>
      <w:divBdr>
        <w:top w:val="none" w:sz="0" w:space="0" w:color="auto"/>
        <w:left w:val="none" w:sz="0" w:space="0" w:color="auto"/>
        <w:bottom w:val="none" w:sz="0" w:space="0" w:color="auto"/>
        <w:right w:val="none" w:sz="0" w:space="0" w:color="auto"/>
      </w:divBdr>
    </w:div>
    <w:div w:id="1924218364">
      <w:bodyDiv w:val="1"/>
      <w:marLeft w:val="0"/>
      <w:marRight w:val="0"/>
      <w:marTop w:val="0"/>
      <w:marBottom w:val="0"/>
      <w:divBdr>
        <w:top w:val="none" w:sz="0" w:space="0" w:color="auto"/>
        <w:left w:val="none" w:sz="0" w:space="0" w:color="auto"/>
        <w:bottom w:val="none" w:sz="0" w:space="0" w:color="auto"/>
        <w:right w:val="none" w:sz="0" w:space="0" w:color="auto"/>
      </w:divBdr>
    </w:div>
    <w:div w:id="1990085755">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xie@math.tsinghua.edu.cn" TargetMode="External"/><Relationship Id="rId18" Type="http://schemas.openxmlformats.org/officeDocument/2006/relationships/hyperlink" Target="http://www.informaworld.com/smpp/content~db=all~content=a933588881~frm=titlelin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chrisraz@sciences.sdsu.edu" TargetMode="External"/><Relationship Id="rId17" Type="http://schemas.openxmlformats.org/officeDocument/2006/relationships/hyperlink" Target="http://www.tandfonline.com/doi/abs/10.1080/0020739X.2011.562310?journalCode=tmes2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nrp.fr/publications/edition-electronique/cerme6/wg12-16-chorlay.pdf" TargetMode="External"/><Relationship Id="rId20" Type="http://schemas.openxmlformats.org/officeDocument/2006/relationships/hyperlink" Target="http://mathdl.maa.org/mathDL/4/?pa=content&amp;sa=viewDocument&amp;nodeId=560&amp;pf=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ardi@uea.ac.uk"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halshs.archives-ouvertes.fr/hal-00190425_v1/"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mkju11@hanyang.ac.kr" TargetMode="External"/><Relationship Id="rId19" Type="http://schemas.openxmlformats.org/officeDocument/2006/relationships/hyperlink" Target="http://sigmaa.maa.org/rume/crume2010/Archive/Ioannou%20&amp;%20Nardi.pdf" TargetMode="External"/><Relationship Id="rId4" Type="http://schemas.microsoft.com/office/2007/relationships/stylesWithEffects" Target="stylesWithEffects.xml"/><Relationship Id="rId9" Type="http://schemas.openxmlformats.org/officeDocument/2006/relationships/hyperlink" Target="mailto:danielle.huillet@yahoo.fr" TargetMode="External"/><Relationship Id="rId14" Type="http://schemas.openxmlformats.org/officeDocument/2006/relationships/image" Target="media/image1.wmf"/><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faculty.math.tsinghua.edu.cn/~jxie/papers/icme2012_ST4.pd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2A20C-5CA6-426E-B398-BD5293EA4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14310</Words>
  <Characters>77278</Characters>
  <Application>Microsoft Office Word</Application>
  <DocSecurity>0</DocSecurity>
  <Lines>643</Lines>
  <Paragraphs>182</Paragraph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Template PME28</vt:lpstr>
      <vt:lpstr>Template PME28</vt:lpstr>
    </vt:vector>
  </TitlesOfParts>
  <Company>MyCompany</Company>
  <LinksUpToDate>false</LinksUpToDate>
  <CharactersWithSpaces>91406</CharactersWithSpaces>
  <SharedDoc>false</SharedDoc>
  <HLinks>
    <vt:vector size="12" baseType="variant">
      <vt:variant>
        <vt:i4>2818071</vt:i4>
      </vt:variant>
      <vt:variant>
        <vt:i4>9</vt:i4>
      </vt:variant>
      <vt:variant>
        <vt:i4>0</vt:i4>
      </vt:variant>
      <vt:variant>
        <vt:i4>5</vt:i4>
      </vt:variant>
      <vt:variant>
        <vt:lpwstr>mailto:icme12@icme12.org</vt:lpwstr>
      </vt:variant>
      <vt:variant>
        <vt:lpwstr/>
      </vt:variant>
      <vt:variant>
        <vt:i4>5963862</vt:i4>
      </vt:variant>
      <vt:variant>
        <vt:i4>6</vt:i4>
      </vt:variant>
      <vt:variant>
        <vt:i4>0</vt:i4>
      </vt:variant>
      <vt:variant>
        <vt:i4>5</vt:i4>
      </vt:variant>
      <vt:variant>
        <vt:lpwstr>http://www.psychwww.com/resource/apacrib.htm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PME28</dc:title>
  <dc:subject/>
  <dc:creator>A B Fuglestad</dc:creator>
  <cp:keywords/>
  <cp:lastModifiedBy>Iole de Freitas Druck </cp:lastModifiedBy>
  <cp:revision>2</cp:revision>
  <cp:lastPrinted>2012-12-31T01:34:00Z</cp:lastPrinted>
  <dcterms:created xsi:type="dcterms:W3CDTF">2014-09-11T15:00:00Z</dcterms:created>
  <dcterms:modified xsi:type="dcterms:W3CDTF">2014-09-11T15:00:00Z</dcterms:modified>
</cp:coreProperties>
</file>