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A2" w:rsidRDefault="005E22A2" w:rsidP="00F45719">
      <w:pPr>
        <w:spacing w:line="360" w:lineRule="auto"/>
        <w:ind w:firstLine="1134"/>
        <w:jc w:val="center"/>
        <w:rPr>
          <w:rFonts w:ascii="Times New Roman" w:hAnsi="Times New Roman" w:cs="Times New Roman"/>
          <w:b/>
          <w:sz w:val="36"/>
          <w:szCs w:val="36"/>
        </w:rPr>
      </w:pPr>
      <w:r w:rsidRPr="00F45719">
        <w:rPr>
          <w:rFonts w:ascii="Times New Roman" w:hAnsi="Times New Roman" w:cs="Times New Roman"/>
          <w:b/>
          <w:sz w:val="36"/>
          <w:szCs w:val="36"/>
        </w:rPr>
        <w:t>Sobrevida</w:t>
      </w:r>
      <w:bookmarkStart w:id="0" w:name="_GoBack"/>
      <w:bookmarkEnd w:id="0"/>
    </w:p>
    <w:p w:rsidR="00F45719" w:rsidRPr="00F45719" w:rsidRDefault="00F45719" w:rsidP="00F45719">
      <w:pPr>
        <w:spacing w:line="360" w:lineRule="auto"/>
        <w:ind w:firstLine="1134"/>
        <w:jc w:val="center"/>
        <w:rPr>
          <w:rFonts w:ascii="Times New Roman" w:hAnsi="Times New Roman" w:cs="Times New Roman"/>
          <w:b/>
          <w:sz w:val="36"/>
          <w:szCs w:val="36"/>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Materiais e métodos</w:t>
      </w:r>
    </w:p>
    <w:p w:rsidR="00F45719" w:rsidRDefault="00152584" w:rsidP="005E22A2">
      <w:pPr>
        <w:spacing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A sobrevivência dos camundongos SOD1 </w:t>
      </w:r>
      <w:r w:rsidR="00733D35">
        <w:rPr>
          <w:rFonts w:ascii="Times New Roman" w:hAnsi="Times New Roman" w:cs="Times New Roman"/>
          <w:sz w:val="24"/>
          <w:szCs w:val="24"/>
        </w:rPr>
        <w:t>submetidos aos</w:t>
      </w:r>
      <w:r>
        <w:rPr>
          <w:rFonts w:ascii="Times New Roman" w:hAnsi="Times New Roman" w:cs="Times New Roman"/>
          <w:sz w:val="24"/>
          <w:szCs w:val="24"/>
        </w:rPr>
        <w:t xml:space="preserve"> </w:t>
      </w:r>
      <w:r w:rsidR="00A62E68">
        <w:rPr>
          <w:rFonts w:ascii="Times New Roman" w:hAnsi="Times New Roman" w:cs="Times New Roman"/>
          <w:sz w:val="24"/>
          <w:szCs w:val="24"/>
        </w:rPr>
        <w:t>tratamento</w:t>
      </w:r>
      <w:r>
        <w:rPr>
          <w:rFonts w:ascii="Times New Roman" w:hAnsi="Times New Roman" w:cs="Times New Roman"/>
          <w:sz w:val="24"/>
          <w:szCs w:val="24"/>
        </w:rPr>
        <w:t>s veículo, MSCs e Pericitos</w:t>
      </w:r>
      <w:r w:rsidR="00A62E68">
        <w:rPr>
          <w:rFonts w:ascii="Times New Roman" w:hAnsi="Times New Roman" w:cs="Times New Roman"/>
          <w:sz w:val="24"/>
          <w:szCs w:val="24"/>
        </w:rPr>
        <w:t xml:space="preserve"> </w:t>
      </w:r>
      <w:r w:rsidR="00F45719">
        <w:rPr>
          <w:rFonts w:ascii="Times New Roman" w:hAnsi="Times New Roman" w:cs="Times New Roman"/>
          <w:sz w:val="24"/>
          <w:szCs w:val="24"/>
        </w:rPr>
        <w:t xml:space="preserve">foi </w:t>
      </w:r>
      <w:r w:rsidR="00733D35">
        <w:rPr>
          <w:rFonts w:ascii="Times New Roman" w:hAnsi="Times New Roman" w:cs="Times New Roman"/>
          <w:sz w:val="24"/>
          <w:szCs w:val="24"/>
        </w:rPr>
        <w:t>inicialmente avalia</w:t>
      </w:r>
      <w:r>
        <w:rPr>
          <w:rFonts w:ascii="Times New Roman" w:hAnsi="Times New Roman" w:cs="Times New Roman"/>
          <w:sz w:val="24"/>
          <w:szCs w:val="24"/>
        </w:rPr>
        <w:t>da considerando-se o estimador</w:t>
      </w:r>
      <w:r w:rsidR="00A62E68">
        <w:rPr>
          <w:rFonts w:ascii="Times New Roman" w:hAnsi="Times New Roman" w:cs="Times New Roman"/>
          <w:sz w:val="24"/>
          <w:szCs w:val="24"/>
        </w:rPr>
        <w:t xml:space="preserve"> Kaplan-Meier</w:t>
      </w:r>
      <w:r w:rsidR="00A62E68" w:rsidRPr="00A62E68">
        <w:rPr>
          <w:rFonts w:ascii="Times New Roman" w:hAnsi="Times New Roman" w:cs="Times New Roman"/>
          <w:sz w:val="24"/>
          <w:szCs w:val="24"/>
          <w:vertAlign w:val="superscript"/>
        </w:rPr>
        <w:t>1</w:t>
      </w:r>
      <w:r>
        <w:rPr>
          <w:rFonts w:ascii="Times New Roman" w:hAnsi="Times New Roman" w:cs="Times New Roman"/>
          <w:sz w:val="24"/>
          <w:szCs w:val="24"/>
        </w:rPr>
        <w:t>. Comparações das funções de sobrevivência para os gru</w:t>
      </w:r>
      <w:r w:rsidR="00733D35">
        <w:rPr>
          <w:rFonts w:ascii="Times New Roman" w:hAnsi="Times New Roman" w:cs="Times New Roman"/>
          <w:sz w:val="24"/>
          <w:szCs w:val="24"/>
        </w:rPr>
        <w:t>pos de interesse foram realizadas</w:t>
      </w:r>
      <w:r>
        <w:rPr>
          <w:rFonts w:ascii="Times New Roman" w:hAnsi="Times New Roman" w:cs="Times New Roman"/>
          <w:sz w:val="24"/>
          <w:szCs w:val="24"/>
        </w:rPr>
        <w:t xml:space="preserve"> </w:t>
      </w:r>
      <w:r w:rsidR="00A62E68">
        <w:rPr>
          <w:rFonts w:ascii="Times New Roman" w:hAnsi="Times New Roman" w:cs="Times New Roman"/>
          <w:sz w:val="24"/>
          <w:szCs w:val="24"/>
        </w:rPr>
        <w:t>através d</w:t>
      </w:r>
      <w:r w:rsidR="003C6B07">
        <w:rPr>
          <w:rFonts w:ascii="Times New Roman" w:hAnsi="Times New Roman" w:cs="Times New Roman"/>
          <w:sz w:val="24"/>
          <w:szCs w:val="24"/>
        </w:rPr>
        <w:t>o</w:t>
      </w:r>
      <w:r w:rsidR="00A62E68">
        <w:rPr>
          <w:rFonts w:ascii="Times New Roman" w:hAnsi="Times New Roman" w:cs="Times New Roman"/>
          <w:sz w:val="24"/>
          <w:szCs w:val="24"/>
        </w:rPr>
        <w:t xml:space="preserve"> teste log-rank</w:t>
      </w:r>
      <w:r w:rsidR="00A62E68">
        <w:rPr>
          <w:rFonts w:ascii="Times New Roman" w:hAnsi="Times New Roman" w:cs="Times New Roman"/>
          <w:sz w:val="24"/>
          <w:szCs w:val="24"/>
          <w:vertAlign w:val="superscript"/>
        </w:rPr>
        <w:t>1</w:t>
      </w:r>
      <w:r w:rsidR="00A62E68">
        <w:rPr>
          <w:rFonts w:ascii="Times New Roman" w:hAnsi="Times New Roman" w:cs="Times New Roman"/>
          <w:sz w:val="24"/>
          <w:szCs w:val="24"/>
        </w:rPr>
        <w:t>.</w:t>
      </w:r>
      <w:r w:rsidR="00A62E68">
        <w:rPr>
          <w:rFonts w:ascii="Times New Roman" w:eastAsiaTheme="minorHAnsi" w:hAnsi="Times New Roman" w:cs="Times New Roman"/>
          <w:color w:val="000000"/>
          <w:sz w:val="24"/>
          <w:szCs w:val="24"/>
        </w:rPr>
        <w:t xml:space="preserve"> Com a finalidade de avaliar o comportamento conjunto de sexo e tratamento na sobrevivência, considerou-se o modelo de regressão de riscos proporcionais de Cox</w:t>
      </w:r>
      <w:r w:rsidR="00A62E68">
        <w:rPr>
          <w:rFonts w:ascii="Times New Roman" w:eastAsiaTheme="minorHAnsi" w:hAnsi="Times New Roman" w:cs="Times New Roman"/>
          <w:color w:val="000000"/>
          <w:sz w:val="24"/>
          <w:szCs w:val="24"/>
          <w:vertAlign w:val="superscript"/>
        </w:rPr>
        <w:t>2</w:t>
      </w:r>
      <w:r w:rsidR="00A62E68">
        <w:rPr>
          <w:rFonts w:ascii="Times New Roman" w:eastAsiaTheme="minorHAnsi" w:hAnsi="Times New Roman" w:cs="Times New Roman"/>
          <w:color w:val="000000"/>
          <w:sz w:val="24"/>
          <w:szCs w:val="24"/>
        </w:rPr>
        <w:t xml:space="preserve">, procedendo-se, inicialmente, a uma avaliação de interação (verificação se o comportamento dos tratamentos era diferente para machos e fêmeas). Com base nessa modelagem multivariada, </w:t>
      </w:r>
      <w:r w:rsidR="00F45719">
        <w:rPr>
          <w:rFonts w:ascii="Times New Roman" w:hAnsi="Times New Roman" w:cs="Times New Roman"/>
          <w:sz w:val="24"/>
          <w:szCs w:val="24"/>
        </w:rPr>
        <w:t xml:space="preserve"> </w:t>
      </w:r>
      <w:r w:rsidR="00A62E68">
        <w:rPr>
          <w:rFonts w:ascii="Times New Roman" w:hAnsi="Times New Roman" w:cs="Times New Roman"/>
          <w:sz w:val="24"/>
          <w:szCs w:val="24"/>
        </w:rPr>
        <w:t xml:space="preserve">novos </w:t>
      </w:r>
      <w:r w:rsidR="00F45719">
        <w:rPr>
          <w:rFonts w:ascii="Times New Roman" w:hAnsi="Times New Roman" w:cs="Times New Roman"/>
          <w:sz w:val="24"/>
          <w:szCs w:val="24"/>
        </w:rPr>
        <w:t>grupos foram formados e utilizados para o ajuste de</w:t>
      </w:r>
      <w:r w:rsidR="0031304F">
        <w:rPr>
          <w:rFonts w:ascii="Times New Roman" w:hAnsi="Times New Roman" w:cs="Times New Roman"/>
          <w:sz w:val="24"/>
          <w:szCs w:val="24"/>
        </w:rPr>
        <w:t xml:space="preserve"> </w:t>
      </w:r>
      <w:r w:rsidR="00F45719">
        <w:rPr>
          <w:rFonts w:ascii="Times New Roman" w:hAnsi="Times New Roman" w:cs="Times New Roman"/>
          <w:sz w:val="24"/>
          <w:szCs w:val="24"/>
        </w:rPr>
        <w:t xml:space="preserve">um modelo final </w:t>
      </w:r>
      <w:r w:rsidR="00A62E68">
        <w:rPr>
          <w:rFonts w:ascii="Times New Roman" w:hAnsi="Times New Roman" w:cs="Times New Roman"/>
          <w:sz w:val="24"/>
          <w:szCs w:val="24"/>
        </w:rPr>
        <w:t xml:space="preserve"> que foi utilizado para o cálculo de riscos relativos de interesse, acompanhados de intervalos de confiança com 95% de coeficiente de confiança</w:t>
      </w:r>
      <w:r w:rsidR="00F45719">
        <w:rPr>
          <w:rFonts w:ascii="Times New Roman" w:hAnsi="Times New Roman" w:cs="Times New Roman"/>
          <w:sz w:val="24"/>
          <w:szCs w:val="24"/>
        </w:rPr>
        <w:t xml:space="preserve">. </w:t>
      </w:r>
      <w:r w:rsidR="00EB3CFC">
        <w:rPr>
          <w:rFonts w:ascii="Times New Roman" w:hAnsi="Times New Roman" w:cs="Times New Roman"/>
          <w:sz w:val="24"/>
          <w:szCs w:val="24"/>
        </w:rPr>
        <w:t xml:space="preserve">Todos </w:t>
      </w:r>
      <w:r>
        <w:rPr>
          <w:rFonts w:ascii="Times New Roman" w:hAnsi="Times New Roman" w:cs="Times New Roman"/>
          <w:sz w:val="24"/>
          <w:szCs w:val="24"/>
        </w:rPr>
        <w:t>os testes basead</w:t>
      </w:r>
      <w:r w:rsidR="0031304F">
        <w:rPr>
          <w:rFonts w:ascii="Times New Roman" w:hAnsi="Times New Roman" w:cs="Times New Roman"/>
          <w:sz w:val="24"/>
          <w:szCs w:val="24"/>
        </w:rPr>
        <w:t xml:space="preserve">os no modelo de Cox </w:t>
      </w:r>
      <w:r>
        <w:rPr>
          <w:rFonts w:ascii="Times New Roman" w:hAnsi="Times New Roman" w:cs="Times New Roman"/>
          <w:sz w:val="24"/>
          <w:szCs w:val="24"/>
        </w:rPr>
        <w:t xml:space="preserve"> </w:t>
      </w:r>
      <w:r w:rsidR="0031304F">
        <w:rPr>
          <w:rFonts w:ascii="Times New Roman" w:hAnsi="Times New Roman" w:cs="Times New Roman"/>
          <w:sz w:val="24"/>
          <w:szCs w:val="24"/>
        </w:rPr>
        <w:t>foram realizados através d</w:t>
      </w:r>
      <w:r>
        <w:rPr>
          <w:rFonts w:ascii="Times New Roman" w:hAnsi="Times New Roman" w:cs="Times New Roman"/>
          <w:sz w:val="24"/>
          <w:szCs w:val="24"/>
        </w:rPr>
        <w:t>a estatística da razão de verossimilhança</w:t>
      </w:r>
      <w:r w:rsidR="00EB3CFC">
        <w:rPr>
          <w:rFonts w:ascii="Times New Roman" w:hAnsi="Times New Roman" w:cs="Times New Roman"/>
          <w:sz w:val="24"/>
          <w:szCs w:val="24"/>
        </w:rPr>
        <w:t>s</w:t>
      </w:r>
      <w:r>
        <w:rPr>
          <w:rFonts w:ascii="Times New Roman" w:hAnsi="Times New Roman" w:cs="Times New Roman"/>
          <w:sz w:val="24"/>
          <w:szCs w:val="24"/>
          <w:vertAlign w:val="superscript"/>
        </w:rPr>
        <w:t>1</w:t>
      </w:r>
      <w:r w:rsidR="00EB3CFC">
        <w:rPr>
          <w:rFonts w:ascii="Times New Roman" w:hAnsi="Times New Roman" w:cs="Times New Roman"/>
          <w:sz w:val="24"/>
          <w:szCs w:val="24"/>
        </w:rPr>
        <w:t xml:space="preserve"> </w:t>
      </w:r>
      <w:r>
        <w:rPr>
          <w:rFonts w:ascii="Times New Roman" w:hAnsi="Times New Roman" w:cs="Times New Roman"/>
          <w:sz w:val="24"/>
          <w:szCs w:val="24"/>
        </w:rPr>
        <w:t xml:space="preserve">e as </w:t>
      </w:r>
      <w:r w:rsidR="00EB3CFC">
        <w:rPr>
          <w:rFonts w:ascii="Times New Roman" w:hAnsi="Times New Roman" w:cs="Times New Roman"/>
          <w:sz w:val="24"/>
          <w:szCs w:val="24"/>
        </w:rPr>
        <w:t xml:space="preserve">conclusões foram </w:t>
      </w:r>
      <w:r>
        <w:rPr>
          <w:rFonts w:ascii="Times New Roman" w:hAnsi="Times New Roman" w:cs="Times New Roman"/>
          <w:sz w:val="24"/>
          <w:szCs w:val="24"/>
        </w:rPr>
        <w:t>tomadas</w:t>
      </w:r>
      <w:r w:rsidR="00EB3CFC">
        <w:rPr>
          <w:rFonts w:ascii="Times New Roman" w:hAnsi="Times New Roman" w:cs="Times New Roman"/>
          <w:sz w:val="24"/>
          <w:szCs w:val="24"/>
        </w:rPr>
        <w:t xml:space="preserve"> considerando-se um nível de significância igual a 5%.</w:t>
      </w:r>
    </w:p>
    <w:p w:rsidR="00F45719" w:rsidRDefault="00F45719" w:rsidP="005E22A2">
      <w:pPr>
        <w:spacing w:line="360" w:lineRule="auto"/>
        <w:ind w:firstLine="1134"/>
        <w:jc w:val="both"/>
        <w:rPr>
          <w:rFonts w:ascii="Times New Roman" w:hAnsi="Times New Roman" w:cs="Times New Roman"/>
          <w:sz w:val="24"/>
          <w:szCs w:val="24"/>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Resultados e Discussão</w:t>
      </w:r>
    </w:p>
    <w:p w:rsidR="005E22A2" w:rsidRDefault="0031304F"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A</w:t>
      </w:r>
      <w:r w:rsidR="005E22A2">
        <w:rPr>
          <w:rFonts w:ascii="Times New Roman" w:hAnsi="Times New Roman" w:cs="Times New Roman"/>
          <w:color w:val="000000"/>
          <w:sz w:val="24"/>
          <w:szCs w:val="24"/>
          <w:lang w:eastAsia="pt-BR"/>
        </w:rPr>
        <w:t xml:space="preserve"> análise prelimi</w:t>
      </w:r>
      <w:r w:rsidR="00F45719">
        <w:rPr>
          <w:rFonts w:ascii="Times New Roman" w:hAnsi="Times New Roman" w:cs="Times New Roman"/>
          <w:color w:val="000000"/>
          <w:sz w:val="24"/>
          <w:szCs w:val="24"/>
          <w:lang w:eastAsia="pt-BR"/>
        </w:rPr>
        <w:t>nar da sobrevi</w:t>
      </w:r>
      <w:r w:rsidR="00A62E68">
        <w:rPr>
          <w:rFonts w:ascii="Times New Roman" w:hAnsi="Times New Roman" w:cs="Times New Roman"/>
          <w:color w:val="000000"/>
          <w:sz w:val="24"/>
          <w:szCs w:val="24"/>
          <w:lang w:eastAsia="pt-BR"/>
        </w:rPr>
        <w:t xml:space="preserve">vência </w:t>
      </w:r>
      <w:r w:rsidR="009440B2">
        <w:rPr>
          <w:rFonts w:ascii="Times New Roman" w:hAnsi="Times New Roman" w:cs="Times New Roman"/>
          <w:color w:val="000000"/>
          <w:sz w:val="24"/>
          <w:szCs w:val="24"/>
          <w:lang w:eastAsia="pt-BR"/>
        </w:rPr>
        <w:t xml:space="preserve">dos camundongos SOD1, </w:t>
      </w:r>
      <w:r w:rsidR="00A62E68">
        <w:rPr>
          <w:rFonts w:ascii="Times New Roman" w:hAnsi="Times New Roman" w:cs="Times New Roman"/>
          <w:color w:val="000000"/>
          <w:sz w:val="24"/>
          <w:szCs w:val="24"/>
          <w:lang w:eastAsia="pt-BR"/>
        </w:rPr>
        <w:t>baseada nas estimat</w:t>
      </w:r>
      <w:r w:rsidR="003C6B07">
        <w:rPr>
          <w:rFonts w:ascii="Times New Roman" w:hAnsi="Times New Roman" w:cs="Times New Roman"/>
          <w:color w:val="000000"/>
          <w:sz w:val="24"/>
          <w:szCs w:val="24"/>
          <w:lang w:eastAsia="pt-BR"/>
        </w:rPr>
        <w:t>ivas de Kaplan-Meier</w:t>
      </w:r>
      <w:r w:rsidR="009440B2">
        <w:rPr>
          <w:rFonts w:ascii="Times New Roman" w:hAnsi="Times New Roman" w:cs="Times New Roman"/>
          <w:color w:val="000000"/>
          <w:sz w:val="24"/>
          <w:szCs w:val="24"/>
          <w:lang w:eastAsia="pt-BR"/>
        </w:rPr>
        <w:t>,</w:t>
      </w:r>
      <w:r w:rsidR="003C6B07">
        <w:rPr>
          <w:rFonts w:ascii="Times New Roman" w:hAnsi="Times New Roman" w:cs="Times New Roman"/>
          <w:color w:val="000000"/>
          <w:sz w:val="24"/>
          <w:szCs w:val="24"/>
          <w:lang w:eastAsia="pt-BR"/>
        </w:rPr>
        <w:t xml:space="preserve"> evidenciou que </w:t>
      </w:r>
      <w:r>
        <w:rPr>
          <w:rFonts w:ascii="Times New Roman" w:hAnsi="Times New Roman" w:cs="Times New Roman"/>
          <w:color w:val="000000"/>
          <w:sz w:val="24"/>
          <w:szCs w:val="24"/>
          <w:lang w:eastAsia="pt-BR"/>
        </w:rPr>
        <w:t>as curvas de sobrevivência dos três t</w:t>
      </w:r>
      <w:r w:rsidR="003C6B07">
        <w:rPr>
          <w:rFonts w:ascii="Times New Roman" w:hAnsi="Times New Roman" w:cs="Times New Roman"/>
          <w:color w:val="000000"/>
          <w:sz w:val="24"/>
          <w:szCs w:val="24"/>
          <w:lang w:eastAsia="pt-BR"/>
        </w:rPr>
        <w:t xml:space="preserve">ratamentos </w:t>
      </w:r>
      <w:r>
        <w:rPr>
          <w:rFonts w:ascii="Times New Roman" w:hAnsi="Times New Roman" w:cs="Times New Roman"/>
          <w:color w:val="000000"/>
          <w:sz w:val="24"/>
          <w:szCs w:val="24"/>
          <w:lang w:eastAsia="pt-BR"/>
        </w:rPr>
        <w:t>apresentam comportamentos distintos para machos e para fêmeas</w:t>
      </w:r>
      <w:r w:rsidR="003C6B07">
        <w:rPr>
          <w:rFonts w:ascii="Times New Roman" w:hAnsi="Times New Roman" w:cs="Times New Roman"/>
          <w:color w:val="000000"/>
          <w:sz w:val="24"/>
          <w:szCs w:val="24"/>
          <w:lang w:eastAsia="pt-BR"/>
        </w:rPr>
        <w:t>. A Figura 10 apresenta as estimativas de Kaplan-Meier para cada tratamento, considerando-se camundongos fêmeas (Figura 10A) e machos (Figura 10B). O teste log-rank para fêmeas</w:t>
      </w:r>
      <w:r w:rsidR="00064115">
        <w:rPr>
          <w:rFonts w:ascii="Times New Roman" w:hAnsi="Times New Roman" w:cs="Times New Roman"/>
          <w:color w:val="000000"/>
          <w:sz w:val="24"/>
          <w:szCs w:val="24"/>
          <w:lang w:eastAsia="pt-BR"/>
        </w:rPr>
        <w:t xml:space="preserve"> sugere que não há efeito de tratamento para esse grupo (valor-p=0,76)</w:t>
      </w:r>
      <w:r w:rsidR="00EB3CFC">
        <w:rPr>
          <w:rFonts w:ascii="Times New Roman" w:hAnsi="Times New Roman" w:cs="Times New Roman"/>
          <w:color w:val="000000"/>
          <w:sz w:val="24"/>
          <w:szCs w:val="24"/>
          <w:lang w:eastAsia="pt-BR"/>
        </w:rPr>
        <w:t xml:space="preserve"> </w:t>
      </w:r>
      <w:r w:rsidR="00064115">
        <w:rPr>
          <w:rFonts w:ascii="Times New Roman" w:hAnsi="Times New Roman" w:cs="Times New Roman"/>
          <w:color w:val="000000"/>
          <w:sz w:val="24"/>
          <w:szCs w:val="24"/>
          <w:lang w:eastAsia="pt-BR"/>
        </w:rPr>
        <w:t>enquanto que, para machos, a diferença entre as curvas de sobrevivência é estatisticamente significante (valor-p=0,04)</w:t>
      </w:r>
      <w:r w:rsidR="009440B2">
        <w:rPr>
          <w:rFonts w:ascii="Times New Roman" w:hAnsi="Times New Roman" w:cs="Times New Roman"/>
          <w:color w:val="000000"/>
          <w:sz w:val="24"/>
          <w:szCs w:val="24"/>
          <w:lang w:eastAsia="pt-BR"/>
        </w:rPr>
        <w:t>. Vale ressaltar que a diferença na progressão da doença em camundongos SOD1 segundo sexo já foi relatada em outros trabalhos, tanto em parâmetros eletrofisiológicos e motores bem como na sobrevida, sendo que</w:t>
      </w:r>
      <w:r w:rsidR="005E22A2">
        <w:rPr>
          <w:rFonts w:ascii="Times New Roman" w:hAnsi="Times New Roman" w:cs="Times New Roman"/>
          <w:color w:val="000000"/>
          <w:sz w:val="24"/>
          <w:szCs w:val="24"/>
          <w:lang w:eastAsia="pt-BR"/>
        </w:rPr>
        <w:t xml:space="preserve"> machos morrem em média mais cedo do que fêmeas </w:t>
      </w:r>
      <w:r w:rsidR="00BD0419">
        <w:rPr>
          <w:rFonts w:ascii="Times New Roman" w:hAnsi="Times New Roman" w:cs="Times New Roman"/>
          <w:color w:val="000000"/>
          <w:sz w:val="24"/>
          <w:szCs w:val="24"/>
          <w:lang w:eastAsia="pt-BR"/>
        </w:rPr>
        <w:fldChar w:fldCharType="begin" w:fldLock="1"/>
      </w:r>
      <w:r w:rsidR="007C5529">
        <w:rPr>
          <w:rFonts w:ascii="Times New Roman" w:hAnsi="Times New Roman" w:cs="Times New Roman"/>
          <w:color w:val="000000"/>
          <w:sz w:val="24"/>
          <w:szCs w:val="24"/>
          <w:lang w:eastAsia="pt-BR"/>
        </w:rPr>
        <w:instrText>ADDIN CSL_CITATION { "citationItems" : [ { "id" : "ITEM-1", "itemData" : { "DOI" : "10.1016/j.brainres.2011.02.060", "ISSN" : "1872-6240", "PMID" : "21354109", "abstract" : "Amyotrophic lateral sclerosis (ALS) is a progressive degenerative disorder affecting motoneurons and the SOD1(G93A) transgenic mice are widely employed to study disease physiopathology and therapeutic strategies. Despite the cellular and biochemical evidences of an early motor system dysfunction, the conventional behavioral tests do not detect early motor impairments in SOD1 mouse model. We evaluated early changes in motor behavior of ALS mice by doing the analyses of tail elevation, footprint, automatic recording of motor activities by means of an infrared motion sensor activity system and electrophysiological measurements in male and female wild-type (WT) and SOD1(G93A) mice from postnatal day (P) 20 up to endpoint. The classical evaluations of mortality, weight loss, tremor, rotometer, hanging wire and inclined plane were also employed. There was a late onset (after P90) of the impairments of classical parameters and the outcome varied between genders of ALS mice, being tremor, cumulative survival, weight loss and neurological score about 10 days earlier in male than female ALS mice and also about 20 days earlier in ALS males regarding rotarod and hanging wire performances. While diminution of hindpaw base was 10 days earlier in ALS males (P110) compared to females, the steep length decreased 40 days earlier in ALS females (P60) than ALS males. The automatic analysis of motor impairments showed substantial late changes (after P90) of motility and locomotion in the ALS females, but not in the ALS males. It was surprising that the scores of tail elevation were already decreased in ALS males and females by P40, reaching the minimal values at the endpoint. The electrophysiological analyses showed early changes of measures in the ALS mouse sciatic nerve, i.e., decreased values of amplitude (P40) and nerve conduction velocity (P20), and also an increased latency (P20) reaching maximal level of impairments at the late disease phase. The early changes were not accompanied by reductions of neuronal protein markers of neurofilament 200 and ChAT in the ventral part of the lumbar spinal cord of P20 and P60 ALS mice by means of Western blot technique, despite remarkable decreases of those protein levels in P120 ALS mice. In conclusion, early changes of motor behavior and electrophysiological parameters in ALS mouse model must be taken into attention in the analyses of disease mechanisms and therapeutic effects.", "author" : [ { "dropping-particle" : "", "family" : "Alves", "given" : "Chrystian Junqueira", "non-dropping-particle" : "", "parse-names" : false, "suffix" : "" }, { "dropping-particle" : "", "family" : "Santana", "given" : "Luana Pereira", "non-dropping-particle" : "de", "parse-names" : false, "suffix" : "" }, { "dropping-particle" : "", "family" : "Santos", "given" : "Ang\u00e9lica Jana\u00edna Dias", "non-dropping-particle" : "dos", "parse-names" : false, "suffix" : "" }, { "dropping-particle" : "", "family" : "Oliveira", "given" : "Gabriela Pintar", "non-dropping-particle" : "de", "parse-names" : false, "suffix" : "" }, { "dropping-particle" : "", "family" : "Duobles", "given" : "Tatiana", "non-dropping-particle" : "", "parse-names" : false, "suffix" : "" }, { "dropping-particle" : "", "family" : "Scorisa", "given" : "Juliana Milani", "non-dropping-particle" : "", "parse-names" : false, "suffix" : "" }, { "dropping-particle" : "", "family" : "Martins", "given" : "Roberto S\u00e9rgio", "non-dropping-particle" : "", "parse-names" : false, "suffix" : "" }, { "dropping-particle" : "", "family" : "Maximino", "given" : "Jessica Ruivo", "non-dropping-particle" : "", "parse-names" : false, "suffix" : "" }, { "dropping-particle" : "", "family" : "Chadi", "given" : "Gerson", "non-dropping-particle" : "", "parse-names" : false, "suffix" : "" } ], "container-title" : "Brain research", "id" : "ITEM-1", "issued" : { "date-parts" : [ [ "2011", "6", "7" ] ] }, "page" : "90-104", "title" : "Early motor and electrophysiological changes in transgenic mouse model of amyotrophic lateral sclerosis and gender differences on clinical outcome.", "type" : "article-journal", "volume" : "1394" }, "uris" : [ "http://www.mendeley.com/documents/?uuid=f114f86d-9032-4259-9e2c-054cb446d071" ] }, { "id" : "ITEM-2", "itemData" : { "DOI" : "10.1016/j.jns.2005.02.006", "ISSN" : "0022-510X", "PMID" : "16024047", "abstract" : "Amyotrophic lateral sclerosis (ALS) is a progressive neuromuscular disorder. While most cases of ALS are sporadic, 10-15% are familial, and of these 15-20% possess a mutation in the gene that codes for the enzyme Cu/Zn superoxide dismutase (SOD1). In families of ALS patients with specific SOD1 mutations, affected members demonstrate significant heterogeneity of disease and a large variation in age of onset and severity, suggesting that there are genetic modifiers of disease expression. Transgenic mice expressing mutant forms of SOD1 demonstrate symptoms similar to those seen in patients with ALS. We have observed in our colony of G93A SOD1 transgenic mice a milder phenotype in mice in a C57BL/6J background than the C57BL/6JxSJL/J hybrid background used by Jackson Laboratories to maintain their colony. To investigate the effect of genetic background on phenotype, we have constructed congenic lines on two genetic backgrounds, C57BL/6J (B6) and SJL/J (SJL). We report the influence of background and gender on the survival of these congenic lines compared to the hybrid C57BL/6JxSJL/J background. The mean survival of G93A SOD1 mice in the hybrid B6/SJL background was 130 days, with females surviving significantly longer than males. When compared to the hybrid B6/SJL background, the survival of mice in the SJL background significantly decreased, and the gender difference in survival was maintained. On the other hand, mean survival in the B6 background significantly increased, and in contrast to the B6/SJL and SJL backgrounds, there was no difference in survival between males and females. Transgene copy numbers were verified in all animals to ensure that any phenotypic differences observed were not due to alterations in copy number. This is the first report of a shortened lifespan when the G93A SOD1 transgene is placed on the SJL/J background and an increased survival with the loss of gender influences when the transgene is placed on the C57BL/6J background.", "author" : [ { "dropping-particle" : "", "family" : "Heiman-Patterson", "given" : "T D", "non-dropping-particle" : "", "parse-names" : false, "suffix" : "" }, { "dropping-particle" : "", "family" : "Deitch", "given" : "J S", "non-dropping-particle" : "", "parse-names" : false, "suffix" : "" }, { "dropping-particle" : "", "family" : "Blankenhorn", "given" : "E P", "non-dropping-particle" : "", "parse-names" : false, "suffix" : "" }, { "dropping-particle" : "", "family" : "Erwin", "given" : "K L", "non-dropping-particle" : "", "parse-names" : false, "suffix" : "" }, { "dropping-particle" : "", "family" : "Perreault", "given" : "M J", "non-dropping-particle" : "", "parse-names" : false, "suffix" : "" }, { "dropping-particle" : "", "family" : "Alexander", "given" : "B K", "non-dropping-particle" : "", "parse-names" : false, "suffix" : "" }, { "dropping-particle" : "", "family" : "Byers", "given" : "N", "non-dropping-particle" : "", "parse-names" : false, "suffix" : "" }, { "dropping-particle" : "", "family" : "Toman", "given" : "I", "non-dropping-particle" : "", "parse-names" : false, "suffix" : "" }, { "dropping-particle" : "", "family" : "Alexander", "given" : "G M", "non-dropping-particle" : "", "parse-names" : false, "suffix" : "" } ], "container-title" : "Journal of the neurological sciences", "id" : "ITEM-2", "issue" : "1-2", "issued" : { "date-parts" : [ [ "2005", "9", "15" ] ] }, "page" : "1-7", "title" : "Background and gender effects on survival in the TgN(SOD1-G93A)1Gur mouse model of ALS.", "type" : "article-journal", "volume" : "236" }, "uris" : [ "http://www.mendeley.com/documents/?uuid=d137d4cb-c220-4354-b2a2-4949e7fcfef9" ] } ], "mendeley" : { "formattedCitation" : "&lt;sup&gt;3,4&lt;/sup&gt;", "plainTextFormattedCitation" : "3,4", "previouslyFormattedCitation" : "&lt;sup&gt;3,4&lt;/sup&gt;" }, "properties" : { "noteIndex" : 0 }, "schema" : "https://github.com/citation-style-language/schema/raw/master/csl-citation.json" }</w:instrText>
      </w:r>
      <w:r w:rsidR="00BD0419">
        <w:rPr>
          <w:rFonts w:ascii="Times New Roman" w:hAnsi="Times New Roman" w:cs="Times New Roman"/>
          <w:color w:val="000000"/>
          <w:sz w:val="24"/>
          <w:szCs w:val="24"/>
          <w:lang w:eastAsia="pt-BR"/>
        </w:rPr>
        <w:fldChar w:fldCharType="separate"/>
      </w:r>
      <w:r w:rsidR="007C5529" w:rsidRPr="007C5529">
        <w:rPr>
          <w:rFonts w:ascii="Times New Roman" w:hAnsi="Times New Roman" w:cs="Times New Roman"/>
          <w:noProof/>
          <w:color w:val="000000"/>
          <w:sz w:val="24"/>
          <w:szCs w:val="24"/>
          <w:vertAlign w:val="superscript"/>
          <w:lang w:eastAsia="pt-BR"/>
        </w:rPr>
        <w:t>3,4</w:t>
      </w:r>
      <w:r w:rsidR="00BD0419">
        <w:rPr>
          <w:rFonts w:ascii="Times New Roman" w:hAnsi="Times New Roman" w:cs="Times New Roman"/>
          <w:color w:val="000000"/>
          <w:sz w:val="24"/>
          <w:szCs w:val="24"/>
          <w:lang w:eastAsia="pt-BR"/>
        </w:rPr>
        <w:fldChar w:fldCharType="end"/>
      </w:r>
      <w:r w:rsidR="005E22A2">
        <w:rPr>
          <w:rFonts w:ascii="Times New Roman" w:hAnsi="Times New Roman" w:cs="Times New Roman"/>
          <w:color w:val="000000"/>
          <w:sz w:val="24"/>
          <w:szCs w:val="24"/>
          <w:lang w:eastAsia="pt-BR"/>
        </w:rPr>
        <w:t xml:space="preserve">. </w:t>
      </w:r>
    </w:p>
    <w:p w:rsidR="0031304F" w:rsidRDefault="00722E37" w:rsidP="00722E37">
      <w:pPr>
        <w:spacing w:line="360" w:lineRule="auto"/>
        <w:jc w:val="both"/>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lastRenderedPageBreak/>
        <w:drawing>
          <wp:inline distT="0" distB="0" distL="0" distR="0">
            <wp:extent cx="2562225" cy="2562829"/>
            <wp:effectExtent l="19050" t="0" r="0" b="0"/>
            <wp:docPr id="2" name="Picture 1" descr="survFemea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Femeasxtrat.wmf"/>
                    <pic:cNvPicPr/>
                  </pic:nvPicPr>
                  <pic:blipFill>
                    <a:blip r:embed="rId5"/>
                    <a:stretch>
                      <a:fillRect/>
                    </a:stretch>
                  </pic:blipFill>
                  <pic:spPr>
                    <a:xfrm>
                      <a:off x="0" y="0"/>
                      <a:ext cx="2563129" cy="2563733"/>
                    </a:xfrm>
                    <a:prstGeom prst="rect">
                      <a:avLst/>
                    </a:prstGeom>
                  </pic:spPr>
                </pic:pic>
              </a:graphicData>
            </a:graphic>
          </wp:inline>
        </w:drawing>
      </w:r>
      <w:r>
        <w:rPr>
          <w:rFonts w:ascii="Times New Roman" w:hAnsi="Times New Roman" w:cs="Times New Roman"/>
          <w:noProof/>
          <w:color w:val="000000"/>
          <w:sz w:val="24"/>
          <w:szCs w:val="24"/>
          <w:lang w:eastAsia="pt-BR"/>
        </w:rPr>
        <w:drawing>
          <wp:inline distT="0" distB="0" distL="0" distR="0">
            <wp:extent cx="2556000" cy="2556000"/>
            <wp:effectExtent l="19050" t="0" r="0" b="0"/>
            <wp:docPr id="4" name="Picture 3" descr="survMacho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Machosxtrat.wmf"/>
                    <pic:cNvPicPr/>
                  </pic:nvPicPr>
                  <pic:blipFill>
                    <a:blip r:embed="rId6"/>
                    <a:stretch>
                      <a:fillRect/>
                    </a:stretch>
                  </pic:blipFill>
                  <pic:spPr>
                    <a:xfrm>
                      <a:off x="0" y="0"/>
                      <a:ext cx="2556000" cy="2556000"/>
                    </a:xfrm>
                    <a:prstGeom prst="rect">
                      <a:avLst/>
                    </a:prstGeom>
                  </pic:spPr>
                </pic:pic>
              </a:graphicData>
            </a:graphic>
          </wp:inline>
        </w:drawing>
      </w:r>
    </w:p>
    <w:p w:rsidR="0031304F" w:rsidRDefault="0031304F" w:rsidP="0031304F">
      <w:pPr>
        <w:spacing w:line="240" w:lineRule="auto"/>
        <w:ind w:firstLine="1134"/>
        <w:jc w:val="both"/>
        <w:rPr>
          <w:rFonts w:ascii="Times New Roman" w:hAnsi="Times New Roman" w:cs="Times New Roman"/>
          <w:sz w:val="24"/>
          <w:szCs w:val="24"/>
        </w:rPr>
      </w:pPr>
      <w:r>
        <w:rPr>
          <w:rFonts w:ascii="Times New Roman" w:hAnsi="Times New Roman" w:cs="Times New Roman"/>
          <w:b/>
          <w:sz w:val="24"/>
          <w:szCs w:val="24"/>
        </w:rPr>
        <w:t>Figura 10:</w:t>
      </w:r>
      <w:r>
        <w:rPr>
          <w:rFonts w:ascii="Times New Roman" w:hAnsi="Times New Roman" w:cs="Times New Roman"/>
          <w:sz w:val="24"/>
          <w:szCs w:val="24"/>
        </w:rPr>
        <w:t xml:space="preserve"> </w:t>
      </w:r>
      <w:r w:rsidR="00722E37">
        <w:rPr>
          <w:rFonts w:ascii="Times New Roman" w:hAnsi="Times New Roman" w:cs="Times New Roman"/>
          <w:sz w:val="24"/>
          <w:szCs w:val="24"/>
        </w:rPr>
        <w:t>Estimativas Kaplan-Meier da função de sobrevivência e teste log-rank.</w:t>
      </w:r>
      <w:r>
        <w:rPr>
          <w:rFonts w:ascii="Times New Roman" w:hAnsi="Times New Roman" w:cs="Times New Roman"/>
          <w:sz w:val="24"/>
          <w:szCs w:val="24"/>
        </w:rPr>
        <w:t xml:space="preserve"> (</w:t>
      </w:r>
      <w:r w:rsidR="00722E37">
        <w:rPr>
          <w:rFonts w:ascii="Times New Roman" w:hAnsi="Times New Roman" w:cs="Times New Roman"/>
          <w:sz w:val="24"/>
          <w:szCs w:val="24"/>
        </w:rPr>
        <w:t>A</w:t>
      </w:r>
      <w:r>
        <w:rPr>
          <w:rFonts w:ascii="Times New Roman" w:hAnsi="Times New Roman" w:cs="Times New Roman"/>
          <w:sz w:val="24"/>
          <w:szCs w:val="24"/>
        </w:rPr>
        <w:t>) Influência do tratamento na sobrevida das fêmeas. (</w:t>
      </w:r>
      <w:r w:rsidR="00722E37">
        <w:rPr>
          <w:rFonts w:ascii="Times New Roman" w:hAnsi="Times New Roman" w:cs="Times New Roman"/>
          <w:sz w:val="24"/>
          <w:szCs w:val="24"/>
        </w:rPr>
        <w:t>B</w:t>
      </w:r>
      <w:r>
        <w:rPr>
          <w:rFonts w:ascii="Times New Roman" w:hAnsi="Times New Roman" w:cs="Times New Roman"/>
          <w:sz w:val="24"/>
          <w:szCs w:val="24"/>
        </w:rPr>
        <w:t xml:space="preserve">) Influência do tratamento na sobrevida dos machos. </w:t>
      </w:r>
    </w:p>
    <w:p w:rsidR="000D66A4" w:rsidRDefault="005E22A2"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 xml:space="preserve">A fim de avaliar a influência </w:t>
      </w:r>
      <w:r w:rsidR="009440B2">
        <w:rPr>
          <w:rFonts w:ascii="Times New Roman" w:hAnsi="Times New Roman" w:cs="Times New Roman"/>
          <w:color w:val="000000"/>
          <w:sz w:val="24"/>
          <w:szCs w:val="24"/>
          <w:lang w:eastAsia="pt-BR"/>
        </w:rPr>
        <w:t>e magnitude das diferenças observadas na análise inicial, realizou-se uma análise estatística baseada no modelo de riscos proporcionais de Cox, considerando como fatores prognósticos sexo, tratamento e a interessão entre os dois</w:t>
      </w:r>
      <w:r w:rsidR="000D66A4">
        <w:rPr>
          <w:rFonts w:ascii="Times New Roman" w:hAnsi="Times New Roman" w:cs="Times New Roman"/>
          <w:color w:val="000000"/>
          <w:sz w:val="24"/>
          <w:szCs w:val="24"/>
          <w:lang w:eastAsia="pt-BR"/>
        </w:rPr>
        <w:t xml:space="preserve">. Observou-se que o efeito de interação é estatisticamente significativo (valor-p=0,02); portanto, um novo modelo foi ajustado considerando-se seis grupos formados pela combinação dos níveis de sexo (macho e fêmea) e tratamento (veículo, MSCs e Pericitos). O grupo de referência foi definido como sendo o de camundongos fêmeas submetidas ao tratamento veículo. </w:t>
      </w:r>
      <w:r w:rsidR="00FB06A7">
        <w:rPr>
          <w:rFonts w:ascii="Times New Roman" w:hAnsi="Times New Roman" w:cs="Times New Roman"/>
          <w:color w:val="000000"/>
          <w:sz w:val="24"/>
          <w:szCs w:val="24"/>
          <w:lang w:eastAsia="pt-BR"/>
        </w:rPr>
        <w:t>Através dessa modelagem, pode-se observar que não existem diferenças de tratamento para fêmeas (valor-p=0,82). Para machos,  observou-se que não há diferenças entre os tratamentos veículo e MSCs (valor-p=0,36), porém quando o tratamento Pericitos é comparado com veículo, obteve-se que existe diferença estatisticamente significativa (valor-p=0,01). Notou-se ainda que, ao se considerar o grupo de fêmeas (combinado-se os três tratamentos), ocorre diferença significativa com o grupo de machos recebendo o veículo (valor-p&lt;0,01) e machos recebendo MSCs (valor-p=0,01); entretanto, machos recebendo Pericitos mostraram risco de morte semelhante às fêmeas (valor-p</w:t>
      </w:r>
      <w:r w:rsidR="00722E37">
        <w:rPr>
          <w:rFonts w:ascii="Times New Roman" w:hAnsi="Times New Roman" w:cs="Times New Roman"/>
          <w:color w:val="000000"/>
          <w:sz w:val="24"/>
          <w:szCs w:val="24"/>
          <w:lang w:eastAsia="pt-BR"/>
        </w:rPr>
        <w:t>=</w:t>
      </w:r>
      <w:r w:rsidR="00FB06A7">
        <w:rPr>
          <w:rFonts w:ascii="Times New Roman" w:hAnsi="Times New Roman" w:cs="Times New Roman"/>
          <w:color w:val="000000"/>
          <w:sz w:val="24"/>
          <w:szCs w:val="24"/>
          <w:lang w:eastAsia="pt-BR"/>
        </w:rPr>
        <w:t>0,50). Portanto, conclui-se que machos recebendo Pericitos têm sobrevida comparável a fêmeas sob qualquer tratamento, ao passo que machos recebendo veículo e MSCs apresentam mesma sobrevida, inferior à de fêmeas sob qualquer tratamento e machos sob Pericitos.</w:t>
      </w:r>
      <w:r w:rsidR="00EB0A87">
        <w:rPr>
          <w:rFonts w:ascii="Times New Roman" w:hAnsi="Times New Roman" w:cs="Times New Roman"/>
          <w:color w:val="000000"/>
          <w:sz w:val="24"/>
          <w:szCs w:val="24"/>
          <w:lang w:eastAsia="pt-BR"/>
        </w:rPr>
        <w:t xml:space="preserve"> Um modelo de regressão de Cox final foi então</w:t>
      </w:r>
      <w:r w:rsidR="00722E37">
        <w:rPr>
          <w:rFonts w:ascii="Times New Roman" w:hAnsi="Times New Roman" w:cs="Times New Roman"/>
          <w:color w:val="000000"/>
          <w:sz w:val="24"/>
          <w:szCs w:val="24"/>
          <w:lang w:eastAsia="pt-BR"/>
        </w:rPr>
        <w:t xml:space="preserve"> ajustado</w:t>
      </w:r>
      <w:r w:rsidR="00EB0A87">
        <w:rPr>
          <w:rFonts w:ascii="Times New Roman" w:hAnsi="Times New Roman" w:cs="Times New Roman"/>
          <w:color w:val="000000"/>
          <w:sz w:val="24"/>
          <w:szCs w:val="24"/>
          <w:lang w:eastAsia="pt-BR"/>
        </w:rPr>
        <w:t>, con</w:t>
      </w:r>
      <w:r w:rsidR="00722E37">
        <w:rPr>
          <w:rFonts w:ascii="Times New Roman" w:hAnsi="Times New Roman" w:cs="Times New Roman"/>
          <w:color w:val="000000"/>
          <w:sz w:val="24"/>
          <w:szCs w:val="24"/>
          <w:lang w:eastAsia="pt-BR"/>
        </w:rPr>
        <w:t xml:space="preserve">siderando </w:t>
      </w:r>
      <w:r w:rsidR="00EB0A87">
        <w:rPr>
          <w:rFonts w:ascii="Times New Roman" w:hAnsi="Times New Roman" w:cs="Times New Roman"/>
          <w:color w:val="000000"/>
          <w:sz w:val="24"/>
          <w:szCs w:val="24"/>
          <w:lang w:eastAsia="pt-BR"/>
        </w:rPr>
        <w:t xml:space="preserve">dois grupos: um formado por fêmeas (independente do tratamento recebido) e machos recebendo </w:t>
      </w:r>
      <w:r w:rsidR="00EB0A87">
        <w:rPr>
          <w:rFonts w:ascii="Times New Roman" w:hAnsi="Times New Roman" w:cs="Times New Roman"/>
          <w:color w:val="000000"/>
          <w:sz w:val="24"/>
          <w:szCs w:val="24"/>
          <w:lang w:eastAsia="pt-BR"/>
        </w:rPr>
        <w:lastRenderedPageBreak/>
        <w:t xml:space="preserve">Pericitos, e outro grupo formado por machos recebendo veículo e machos recebendo MSCs. Esses </w:t>
      </w:r>
      <w:r w:rsidR="00722E37">
        <w:rPr>
          <w:rFonts w:ascii="Times New Roman" w:hAnsi="Times New Roman" w:cs="Times New Roman"/>
          <w:color w:val="000000"/>
          <w:sz w:val="24"/>
          <w:szCs w:val="24"/>
          <w:lang w:eastAsia="pt-BR"/>
        </w:rPr>
        <w:t xml:space="preserve">dois </w:t>
      </w:r>
      <w:r w:rsidR="00EB0A87">
        <w:rPr>
          <w:rFonts w:ascii="Times New Roman" w:hAnsi="Times New Roman" w:cs="Times New Roman"/>
          <w:color w:val="000000"/>
          <w:sz w:val="24"/>
          <w:szCs w:val="24"/>
          <w:lang w:eastAsia="pt-BR"/>
        </w:rPr>
        <w:t>grupos têm risco de morte diferentes (valor-p &lt; 0,01). A ordem de magnitude dessa diferença foi dimensionada através do risco relativo, comparando o grupo de machos (sob tratamentos veículo e MSCs) com o grupo formado pela combinação de fêmeas (qualquer tratamento) e machos recebendo Pericitos, cujo valor estimado é igual a 3,28 [IC(95%)=(1,81; 5,92)]; isto é, conclui-se que o risco de morte para camundo</w:t>
      </w:r>
      <w:r w:rsidR="00722E37">
        <w:rPr>
          <w:rFonts w:ascii="Times New Roman" w:hAnsi="Times New Roman" w:cs="Times New Roman"/>
          <w:color w:val="000000"/>
          <w:sz w:val="24"/>
          <w:szCs w:val="24"/>
          <w:lang w:eastAsia="pt-BR"/>
        </w:rPr>
        <w:t>ngos SOD1 machos sob tratamento</w:t>
      </w:r>
      <w:r w:rsidR="00EB0A87">
        <w:rPr>
          <w:rFonts w:ascii="Times New Roman" w:hAnsi="Times New Roman" w:cs="Times New Roman"/>
          <w:color w:val="000000"/>
          <w:sz w:val="24"/>
          <w:szCs w:val="24"/>
          <w:lang w:eastAsia="pt-BR"/>
        </w:rPr>
        <w:t xml:space="preserve"> HBSS ou veículo é aproximadamente 3 vezes o risco de morte para fêmeas (qualquer tratamento) ou machos re</w:t>
      </w:r>
      <w:r w:rsidR="00722E37">
        <w:rPr>
          <w:rFonts w:ascii="Times New Roman" w:hAnsi="Times New Roman" w:cs="Times New Roman"/>
          <w:color w:val="000000"/>
          <w:sz w:val="24"/>
          <w:szCs w:val="24"/>
          <w:lang w:eastAsia="pt-BR"/>
        </w:rPr>
        <w:t>ce</w:t>
      </w:r>
      <w:r w:rsidR="00EB0A87">
        <w:rPr>
          <w:rFonts w:ascii="Times New Roman" w:hAnsi="Times New Roman" w:cs="Times New Roman"/>
          <w:color w:val="000000"/>
          <w:sz w:val="24"/>
          <w:szCs w:val="24"/>
          <w:lang w:eastAsia="pt-BR"/>
        </w:rPr>
        <w:t>bendo Pericitos. Estimativas das curvas de sobrevivência para esses dois grupos</w:t>
      </w:r>
      <w:r w:rsidR="00722E37">
        <w:rPr>
          <w:rFonts w:ascii="Times New Roman" w:hAnsi="Times New Roman" w:cs="Times New Roman"/>
          <w:color w:val="000000"/>
          <w:sz w:val="24"/>
          <w:szCs w:val="24"/>
          <w:lang w:eastAsia="pt-BR"/>
        </w:rPr>
        <w:t>,</w:t>
      </w:r>
      <w:r w:rsidR="00EB0A87">
        <w:rPr>
          <w:rFonts w:ascii="Times New Roman" w:hAnsi="Times New Roman" w:cs="Times New Roman"/>
          <w:color w:val="000000"/>
          <w:sz w:val="24"/>
          <w:szCs w:val="24"/>
          <w:lang w:eastAsia="pt-BR"/>
        </w:rPr>
        <w:t xml:space="preserve"> estimadas através do modelo de regressão de Cox,  são apresentadas na Figura 11. </w:t>
      </w:r>
    </w:p>
    <w:p w:rsidR="00A87FCD" w:rsidRDefault="00A87FCD" w:rsidP="00A87FCD">
      <w:pPr>
        <w:spacing w:line="360" w:lineRule="auto"/>
        <w:ind w:hanging="142"/>
        <w:jc w:val="center"/>
        <w:rPr>
          <w:rFonts w:ascii="Times New Roman" w:hAnsi="Times New Roman" w:cs="Times New Roman"/>
          <w:b/>
          <w:sz w:val="24"/>
          <w:szCs w:val="24"/>
        </w:rPr>
      </w:pPr>
      <w:r>
        <w:rPr>
          <w:rFonts w:ascii="Times New Roman" w:hAnsi="Times New Roman" w:cs="Times New Roman"/>
          <w:noProof/>
          <w:color w:val="000000"/>
          <w:sz w:val="24"/>
          <w:szCs w:val="24"/>
          <w:lang w:eastAsia="pt-BR"/>
        </w:rPr>
        <w:drawing>
          <wp:inline distT="0" distB="0" distL="0" distR="0">
            <wp:extent cx="2990850" cy="2990850"/>
            <wp:effectExtent l="0" t="0" r="0" b="0"/>
            <wp:docPr id="9" name="Picture 8" descr="SurvCox.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Cox.wmf"/>
                    <pic:cNvPicPr/>
                  </pic:nvPicPr>
                  <pic:blipFill>
                    <a:blip r:embed="rId7"/>
                    <a:stretch>
                      <a:fillRect/>
                    </a:stretch>
                  </pic:blipFill>
                  <pic:spPr>
                    <a:xfrm>
                      <a:off x="0" y="0"/>
                      <a:ext cx="2994716" cy="2994716"/>
                    </a:xfrm>
                    <a:prstGeom prst="rect">
                      <a:avLst/>
                    </a:prstGeom>
                  </pic:spPr>
                </pic:pic>
              </a:graphicData>
            </a:graphic>
          </wp:inline>
        </w:drawing>
      </w:r>
    </w:p>
    <w:p w:rsidR="00B64C16" w:rsidRDefault="00B64C16" w:rsidP="00A87FCD">
      <w:pPr>
        <w:spacing w:line="360" w:lineRule="auto"/>
        <w:ind w:hanging="142"/>
        <w:jc w:val="center"/>
        <w:rPr>
          <w:rFonts w:ascii="Times New Roman" w:hAnsi="Times New Roman" w:cs="Times New Roman"/>
          <w:sz w:val="24"/>
          <w:szCs w:val="24"/>
        </w:rPr>
      </w:pPr>
      <w:r>
        <w:rPr>
          <w:rFonts w:ascii="Times New Roman" w:hAnsi="Times New Roman" w:cs="Times New Roman"/>
          <w:b/>
          <w:sz w:val="24"/>
          <w:szCs w:val="24"/>
        </w:rPr>
        <w:t>Figura 1</w:t>
      </w:r>
      <w:r w:rsidR="00A87FCD">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sz w:val="24"/>
          <w:szCs w:val="24"/>
        </w:rPr>
        <w:t xml:space="preserve"> </w:t>
      </w:r>
      <w:r w:rsidR="00A87FCD">
        <w:rPr>
          <w:rFonts w:ascii="Times New Roman" w:hAnsi="Times New Roman" w:cs="Times New Roman"/>
          <w:sz w:val="24"/>
          <w:szCs w:val="24"/>
        </w:rPr>
        <w:t xml:space="preserve">Estimativas das funções de sobrevivência a partir do modelo de regressão de Cox final </w:t>
      </w:r>
      <w:r>
        <w:rPr>
          <w:rFonts w:ascii="Times New Roman" w:hAnsi="Times New Roman" w:cs="Times New Roman"/>
          <w:sz w:val="24"/>
          <w:szCs w:val="24"/>
        </w:rPr>
        <w:t xml:space="preserve">ajustado </w:t>
      </w:r>
    </w:p>
    <w:p w:rsidR="00A87FCD" w:rsidRDefault="00A87FCD">
      <w:pPr>
        <w:rPr>
          <w:b/>
          <w:lang w:val="en-US"/>
        </w:rPr>
      </w:pPr>
    </w:p>
    <w:p w:rsidR="00A87FCD" w:rsidRDefault="00A87FCD">
      <w:pPr>
        <w:rPr>
          <w:b/>
          <w:lang w:val="en-US"/>
        </w:rPr>
      </w:pPr>
    </w:p>
    <w:p w:rsidR="00842773" w:rsidRPr="00A62E68" w:rsidRDefault="007C5529">
      <w:pPr>
        <w:rPr>
          <w:b/>
          <w:lang w:val="en-US"/>
        </w:rPr>
      </w:pPr>
      <w:proofErr w:type="spellStart"/>
      <w:r w:rsidRPr="00A62E68">
        <w:rPr>
          <w:b/>
          <w:lang w:val="en-US"/>
        </w:rPr>
        <w:t>Referências</w:t>
      </w:r>
      <w:proofErr w:type="spellEnd"/>
    </w:p>
    <w:p w:rsidR="00B64C16" w:rsidRPr="00A62E68" w:rsidRDefault="00B64C16">
      <w:pPr>
        <w:rPr>
          <w:lang w:val="en-US"/>
        </w:rPr>
      </w:pPr>
    </w:p>
    <w:p w:rsidR="007C5529" w:rsidRPr="00A62E68" w:rsidRDefault="00BD0419">
      <w:pPr>
        <w:pStyle w:val="NormalWeb"/>
        <w:ind w:left="640" w:hanging="640"/>
        <w:divId w:val="205914699"/>
        <w:rPr>
          <w:rFonts w:ascii="Calibri" w:hAnsi="Calibri"/>
          <w:noProof/>
          <w:sz w:val="22"/>
          <w:lang w:val="en-US"/>
        </w:rPr>
      </w:pPr>
      <w:r w:rsidRPr="00BD0419">
        <w:fldChar w:fldCharType="begin" w:fldLock="1"/>
      </w:r>
      <w:r w:rsidR="007C5529" w:rsidRPr="00A62E68">
        <w:rPr>
          <w:lang w:val="en-US"/>
        </w:rPr>
        <w:instrText xml:space="preserve">ADDIN Mendeley Bibliography CSL_BIBLIOGRAPHY </w:instrText>
      </w:r>
      <w:r w:rsidRPr="00BD0419">
        <w:fldChar w:fldCharType="separate"/>
      </w:r>
      <w:r w:rsidR="007C5529" w:rsidRPr="00A62E68">
        <w:rPr>
          <w:rFonts w:ascii="Calibri" w:hAnsi="Calibri"/>
          <w:noProof/>
          <w:sz w:val="22"/>
          <w:lang w:val="en-US"/>
        </w:rPr>
        <w:t>1.</w:t>
      </w:r>
      <w:r w:rsidR="007C5529" w:rsidRPr="00A62E68">
        <w:rPr>
          <w:rFonts w:ascii="Calibri" w:hAnsi="Calibri"/>
          <w:noProof/>
          <w:sz w:val="22"/>
          <w:lang w:val="en-US"/>
        </w:rPr>
        <w:tab/>
        <w:t xml:space="preserve">Cox, D. R. Regression Models and Life Tables. </w:t>
      </w:r>
      <w:r w:rsidR="007C5529" w:rsidRPr="00A62E68">
        <w:rPr>
          <w:rFonts w:ascii="Calibri" w:hAnsi="Calibri"/>
          <w:i/>
          <w:iCs/>
          <w:noProof/>
          <w:sz w:val="22"/>
          <w:lang w:val="en-US"/>
        </w:rPr>
        <w:t>J. R. Stat. Soc. Ser. B</w:t>
      </w:r>
      <w:r w:rsidR="007C5529" w:rsidRPr="00A62E68">
        <w:rPr>
          <w:rFonts w:ascii="Calibri" w:hAnsi="Calibri"/>
          <w:noProof/>
          <w:sz w:val="22"/>
          <w:lang w:val="en-US"/>
        </w:rPr>
        <w:t xml:space="preserve"> </w:t>
      </w:r>
      <w:r w:rsidR="007C5529" w:rsidRPr="00A62E68">
        <w:rPr>
          <w:rFonts w:ascii="Calibri" w:hAnsi="Calibri"/>
          <w:b/>
          <w:bCs/>
          <w:noProof/>
          <w:sz w:val="22"/>
          <w:lang w:val="en-US"/>
        </w:rPr>
        <w:t>34,</w:t>
      </w:r>
      <w:r w:rsidR="007C5529" w:rsidRPr="00A62E68">
        <w:rPr>
          <w:rFonts w:ascii="Calibri" w:hAnsi="Calibri"/>
          <w:noProof/>
          <w:sz w:val="22"/>
          <w:lang w:val="en-US"/>
        </w:rPr>
        <w:t xml:space="preserve"> 187–220 (1972).</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t>2.</w:t>
      </w:r>
      <w:r w:rsidRPr="00A62E68">
        <w:rPr>
          <w:rFonts w:ascii="Calibri" w:hAnsi="Calibri"/>
          <w:noProof/>
          <w:sz w:val="22"/>
          <w:lang w:val="en-US"/>
        </w:rPr>
        <w:tab/>
        <w:t xml:space="preserve">Collett, D. </w:t>
      </w:r>
      <w:r w:rsidRPr="00A62E68">
        <w:rPr>
          <w:rFonts w:ascii="Calibri" w:hAnsi="Calibri"/>
          <w:i/>
          <w:iCs/>
          <w:noProof/>
          <w:sz w:val="22"/>
          <w:lang w:val="en-US"/>
        </w:rPr>
        <w:t>Modelling Survival Data in Medical Research</w:t>
      </w:r>
      <w:r w:rsidRPr="00A62E68">
        <w:rPr>
          <w:rFonts w:ascii="Calibri" w:hAnsi="Calibri"/>
          <w:noProof/>
          <w:sz w:val="22"/>
          <w:lang w:val="en-US"/>
        </w:rPr>
        <w:t>. (2003).</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lastRenderedPageBreak/>
        <w:t>3.</w:t>
      </w:r>
      <w:r w:rsidRPr="00A62E68">
        <w:rPr>
          <w:rFonts w:ascii="Calibri" w:hAnsi="Calibri"/>
          <w:noProof/>
          <w:sz w:val="22"/>
          <w:lang w:val="en-US"/>
        </w:rPr>
        <w:tab/>
        <w:t xml:space="preserve">Alves, C. J. </w:t>
      </w:r>
      <w:r w:rsidRPr="00A62E68">
        <w:rPr>
          <w:rFonts w:ascii="Calibri" w:hAnsi="Calibri"/>
          <w:i/>
          <w:iCs/>
          <w:noProof/>
          <w:sz w:val="22"/>
          <w:lang w:val="en-US"/>
        </w:rPr>
        <w:t>et al.</w:t>
      </w:r>
      <w:r w:rsidRPr="00A62E68">
        <w:rPr>
          <w:rFonts w:ascii="Calibri" w:hAnsi="Calibri"/>
          <w:noProof/>
          <w:sz w:val="22"/>
          <w:lang w:val="en-US"/>
        </w:rPr>
        <w:t xml:space="preserve"> Early motor and electrophysiological changes in transgenic mouse model of amyotrophic lateral sclerosis and gender differences on clinical outcome. </w:t>
      </w:r>
      <w:r w:rsidRPr="00A62E68">
        <w:rPr>
          <w:rFonts w:ascii="Calibri" w:hAnsi="Calibri"/>
          <w:i/>
          <w:iCs/>
          <w:noProof/>
          <w:sz w:val="22"/>
          <w:lang w:val="en-US"/>
        </w:rPr>
        <w:t>Brain Res.</w:t>
      </w:r>
      <w:r w:rsidRPr="00A62E68">
        <w:rPr>
          <w:rFonts w:ascii="Calibri" w:hAnsi="Calibri"/>
          <w:noProof/>
          <w:sz w:val="22"/>
          <w:lang w:val="en-US"/>
        </w:rPr>
        <w:t xml:space="preserve"> </w:t>
      </w:r>
      <w:r w:rsidRPr="00A62E68">
        <w:rPr>
          <w:rFonts w:ascii="Calibri" w:hAnsi="Calibri"/>
          <w:b/>
          <w:bCs/>
          <w:noProof/>
          <w:sz w:val="22"/>
          <w:lang w:val="en-US"/>
        </w:rPr>
        <w:t>1394,</w:t>
      </w:r>
      <w:r w:rsidRPr="00A62E68">
        <w:rPr>
          <w:rFonts w:ascii="Calibri" w:hAnsi="Calibri"/>
          <w:noProof/>
          <w:sz w:val="22"/>
          <w:lang w:val="en-US"/>
        </w:rPr>
        <w:t xml:space="preserve"> 90–104 (2011).</w:t>
      </w:r>
    </w:p>
    <w:p w:rsidR="007C5529" w:rsidRPr="007C5529" w:rsidRDefault="007C5529">
      <w:pPr>
        <w:pStyle w:val="NormalWeb"/>
        <w:ind w:left="640" w:hanging="640"/>
        <w:divId w:val="205914699"/>
        <w:rPr>
          <w:rFonts w:ascii="Calibri" w:hAnsi="Calibri"/>
          <w:noProof/>
          <w:sz w:val="22"/>
        </w:rPr>
      </w:pPr>
      <w:r w:rsidRPr="00A62E68">
        <w:rPr>
          <w:rFonts w:ascii="Calibri" w:hAnsi="Calibri"/>
          <w:noProof/>
          <w:sz w:val="22"/>
          <w:lang w:val="en-US"/>
        </w:rPr>
        <w:t>4.</w:t>
      </w:r>
      <w:r w:rsidRPr="00A62E68">
        <w:rPr>
          <w:rFonts w:ascii="Calibri" w:hAnsi="Calibri"/>
          <w:noProof/>
          <w:sz w:val="22"/>
          <w:lang w:val="en-US"/>
        </w:rPr>
        <w:tab/>
        <w:t xml:space="preserve">Heiman-Patterson, T. D. </w:t>
      </w:r>
      <w:r w:rsidRPr="00A62E68">
        <w:rPr>
          <w:rFonts w:ascii="Calibri" w:hAnsi="Calibri"/>
          <w:i/>
          <w:iCs/>
          <w:noProof/>
          <w:sz w:val="22"/>
          <w:lang w:val="en-US"/>
        </w:rPr>
        <w:t>et al.</w:t>
      </w:r>
      <w:r w:rsidRPr="00A62E68">
        <w:rPr>
          <w:rFonts w:ascii="Calibri" w:hAnsi="Calibri"/>
          <w:noProof/>
          <w:sz w:val="22"/>
          <w:lang w:val="en-US"/>
        </w:rPr>
        <w:t xml:space="preserve"> Background and gender effects on survival in the TgN(SOD1-G93A)1Gur mouse model of ALS. </w:t>
      </w:r>
      <w:r w:rsidRPr="00A62E68">
        <w:rPr>
          <w:rFonts w:ascii="Calibri" w:hAnsi="Calibri"/>
          <w:i/>
          <w:iCs/>
          <w:noProof/>
          <w:sz w:val="22"/>
          <w:lang w:val="en-US"/>
        </w:rPr>
        <w:t xml:space="preserve">J. Neurol. </w:t>
      </w:r>
      <w:r w:rsidRPr="007C5529">
        <w:rPr>
          <w:rFonts w:ascii="Calibri" w:hAnsi="Calibri"/>
          <w:i/>
          <w:iCs/>
          <w:noProof/>
          <w:sz w:val="22"/>
        </w:rPr>
        <w:t>Sci.</w:t>
      </w:r>
      <w:r w:rsidRPr="007C5529">
        <w:rPr>
          <w:rFonts w:ascii="Calibri" w:hAnsi="Calibri"/>
          <w:noProof/>
          <w:sz w:val="22"/>
        </w:rPr>
        <w:t xml:space="preserve"> </w:t>
      </w:r>
      <w:r w:rsidRPr="007C5529">
        <w:rPr>
          <w:rFonts w:ascii="Calibri" w:hAnsi="Calibri"/>
          <w:b/>
          <w:bCs/>
          <w:noProof/>
          <w:sz w:val="22"/>
        </w:rPr>
        <w:t>236,</w:t>
      </w:r>
      <w:r w:rsidRPr="007C5529">
        <w:rPr>
          <w:rFonts w:ascii="Calibri" w:hAnsi="Calibri"/>
          <w:noProof/>
          <w:sz w:val="22"/>
        </w:rPr>
        <w:t xml:space="preserve"> 1–7 (2005). </w:t>
      </w:r>
    </w:p>
    <w:p w:rsidR="005E22A2" w:rsidRDefault="00BD0419">
      <w:r>
        <w:fldChar w:fldCharType="end"/>
      </w:r>
    </w:p>
    <w:sectPr w:rsidR="005E22A2" w:rsidSect="0084277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E22A2"/>
    <w:rsid w:val="00064115"/>
    <w:rsid w:val="000D66A4"/>
    <w:rsid w:val="00152584"/>
    <w:rsid w:val="0031304F"/>
    <w:rsid w:val="003C6B07"/>
    <w:rsid w:val="005C2E0F"/>
    <w:rsid w:val="005E22A2"/>
    <w:rsid w:val="00722E37"/>
    <w:rsid w:val="00733D35"/>
    <w:rsid w:val="007C5529"/>
    <w:rsid w:val="00842773"/>
    <w:rsid w:val="009440B2"/>
    <w:rsid w:val="00A62E68"/>
    <w:rsid w:val="00A87FCD"/>
    <w:rsid w:val="00B64C16"/>
    <w:rsid w:val="00BD0419"/>
    <w:rsid w:val="00EB0A87"/>
    <w:rsid w:val="00EB3CFC"/>
    <w:rsid w:val="00EB57E8"/>
    <w:rsid w:val="00F45719"/>
    <w:rsid w:val="00FB06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2A2"/>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2A2"/>
    <w:rPr>
      <w:rFonts w:ascii="Tahoma" w:eastAsia="Times New Roman" w:hAnsi="Tahoma" w:cs="Tahoma"/>
      <w:sz w:val="16"/>
      <w:szCs w:val="16"/>
    </w:rPr>
  </w:style>
  <w:style w:type="paragraph" w:styleId="NormalWeb">
    <w:name w:val="Normal (Web)"/>
    <w:basedOn w:val="Normal"/>
    <w:uiPriority w:val="99"/>
    <w:semiHidden/>
    <w:unhideWhenUsed/>
    <w:rsid w:val="007C5529"/>
    <w:pPr>
      <w:spacing w:before="100" w:beforeAutospacing="1" w:after="100" w:afterAutospacing="1" w:line="240" w:lineRule="auto"/>
    </w:pPr>
    <w:rPr>
      <w:rFonts w:ascii="Times New Roman" w:eastAsiaTheme="minorEastAsia"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26435563">
      <w:bodyDiv w:val="1"/>
      <w:marLeft w:val="0"/>
      <w:marRight w:val="0"/>
      <w:marTop w:val="0"/>
      <w:marBottom w:val="0"/>
      <w:divBdr>
        <w:top w:val="none" w:sz="0" w:space="0" w:color="auto"/>
        <w:left w:val="none" w:sz="0" w:space="0" w:color="auto"/>
        <w:bottom w:val="none" w:sz="0" w:space="0" w:color="auto"/>
        <w:right w:val="none" w:sz="0" w:space="0" w:color="auto"/>
      </w:divBdr>
    </w:div>
    <w:div w:id="205914699">
      <w:bodyDiv w:val="1"/>
      <w:marLeft w:val="0"/>
      <w:marRight w:val="0"/>
      <w:marTop w:val="0"/>
      <w:marBottom w:val="0"/>
      <w:divBdr>
        <w:top w:val="none" w:sz="0" w:space="0" w:color="auto"/>
        <w:left w:val="none" w:sz="0" w:space="0" w:color="auto"/>
        <w:bottom w:val="none" w:sz="0" w:space="0" w:color="auto"/>
        <w:right w:val="none" w:sz="0" w:space="0" w:color="auto"/>
      </w:divBdr>
    </w:div>
    <w:div w:id="13844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0632A-7EB5-44BA-9288-8B0F4E90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Pages>
  <Words>2158</Words>
  <Characters>11657</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dc:creator>
  <cp:lastModifiedBy>acarlos</cp:lastModifiedBy>
  <cp:revision>5</cp:revision>
  <dcterms:created xsi:type="dcterms:W3CDTF">2015-05-19T13:53:00Z</dcterms:created>
  <dcterms:modified xsi:type="dcterms:W3CDTF">2015-05-19T19:25:00Z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giulicoatti@hotmail.com@www.mendeley.com</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http://www.zotero.org/styles/cytometry</vt:lpwstr>
  </property>
  <property fmtid="{D5CDD505-2E9C-101B-9397-08002B2CF9AE}" pid="16" name="Mendeley Recent Style Name 5_1">
    <vt:lpwstr>Cytometry</vt:lpwstr>
  </property>
  <property fmtid="{D5CDD505-2E9C-101B-9397-08002B2CF9AE}" pid="17" name="Mendeley Recent Style Id 6_1">
    <vt:lpwstr>http://www.zotero.org/styles/cytotechnology</vt:lpwstr>
  </property>
  <property fmtid="{D5CDD505-2E9C-101B-9397-08002B2CF9AE}" pid="18" name="Mendeley Recent Style Name 6_1">
    <vt:lpwstr>Cytotechnology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http://www.zotero.org/styles/neuromuscular-disorders</vt:lpwstr>
  </property>
  <property fmtid="{D5CDD505-2E9C-101B-9397-08002B2CF9AE}" pid="22" name="Mendeley Recent Style Name 8_1">
    <vt:lpwstr>Neuromuscular Disorders</vt:lpwstr>
  </property>
  <property fmtid="{D5CDD505-2E9C-101B-9397-08002B2CF9AE}" pid="23" name="Mendeley Recent Style Id 9_1">
    <vt:lpwstr>http://csl.mendeley.com/styles/23019391/stem-cells-and-development</vt:lpwstr>
  </property>
  <property fmtid="{D5CDD505-2E9C-101B-9397-08002B2CF9AE}" pid="24" name="Mendeley Recent Style Name 9_1">
    <vt:lpwstr>Stem Cells and Development - UPDATED</vt:lpwstr>
  </property>
</Properties>
</file>